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DC4B" w14:textId="73701066" w:rsidR="0093769C" w:rsidRPr="00971D73" w:rsidRDefault="0093769C" w:rsidP="0093769C">
      <w:pPr>
        <w:spacing w:after="0" w:line="240" w:lineRule="auto"/>
        <w:rPr>
          <w:sz w:val="22"/>
          <w:szCs w:val="22"/>
          <w:lang w:val="en-GB"/>
        </w:rPr>
      </w:pPr>
      <w:r w:rsidRPr="00971D73">
        <w:rPr>
          <w:sz w:val="22"/>
          <w:szCs w:val="22"/>
          <w:lang w:val="en-GB"/>
        </w:rPr>
        <w:t xml:space="preserve">RNS Number: </w:t>
      </w:r>
    </w:p>
    <w:p w14:paraId="21EDFD9E" w14:textId="1DF0AE41" w:rsidR="0093769C" w:rsidRPr="00971D73" w:rsidRDefault="0010161B" w:rsidP="0093769C">
      <w:pPr>
        <w:spacing w:after="0" w:line="240" w:lineRule="auto"/>
        <w:rPr>
          <w:sz w:val="22"/>
          <w:szCs w:val="22"/>
          <w:lang w:val="en-GB"/>
        </w:rPr>
      </w:pPr>
      <w:r w:rsidRPr="00971D73">
        <w:rPr>
          <w:sz w:val="22"/>
          <w:szCs w:val="22"/>
          <w:lang w:val="en-GB"/>
        </w:rPr>
        <w:t xml:space="preserve">Talisman Metals </w:t>
      </w:r>
      <w:r w:rsidR="0093769C" w:rsidRPr="00971D73">
        <w:rPr>
          <w:sz w:val="22"/>
          <w:szCs w:val="22"/>
          <w:lang w:val="en-GB"/>
        </w:rPr>
        <w:t>PLC</w:t>
      </w:r>
    </w:p>
    <w:p w14:paraId="42275E1B" w14:textId="0FBA1A8C" w:rsidR="0093769C" w:rsidRPr="00971D73" w:rsidRDefault="005177D1" w:rsidP="0093769C">
      <w:pPr>
        <w:spacing w:after="0" w:line="240" w:lineRule="auto"/>
        <w:rPr>
          <w:sz w:val="22"/>
          <w:szCs w:val="22"/>
          <w:lang w:val="en-GB"/>
        </w:rPr>
      </w:pPr>
      <w:r w:rsidRPr="0072113A">
        <w:rPr>
          <w:sz w:val="22"/>
          <w:szCs w:val="22"/>
          <w:lang w:val="en-GB"/>
        </w:rPr>
        <w:t>2</w:t>
      </w:r>
      <w:r w:rsidR="005C719E">
        <w:rPr>
          <w:sz w:val="22"/>
          <w:szCs w:val="22"/>
          <w:lang w:val="en-GB"/>
        </w:rPr>
        <w:t>9</w:t>
      </w:r>
      <w:r w:rsidR="00684690" w:rsidRPr="0072113A">
        <w:rPr>
          <w:sz w:val="22"/>
          <w:szCs w:val="22"/>
          <w:lang w:val="en-GB"/>
        </w:rPr>
        <w:t xml:space="preserve"> </w:t>
      </w:r>
      <w:r w:rsidR="005C719E">
        <w:rPr>
          <w:sz w:val="22"/>
          <w:szCs w:val="22"/>
          <w:lang w:val="en-GB"/>
        </w:rPr>
        <w:t>June</w:t>
      </w:r>
      <w:r w:rsidR="0093769C" w:rsidRPr="0072113A">
        <w:rPr>
          <w:sz w:val="22"/>
          <w:szCs w:val="22"/>
          <w:lang w:val="en-GB"/>
        </w:rPr>
        <w:t xml:space="preserve"> 202</w:t>
      </w:r>
      <w:r w:rsidR="0010161B" w:rsidRPr="0072113A">
        <w:rPr>
          <w:sz w:val="22"/>
          <w:szCs w:val="22"/>
          <w:lang w:val="en-GB"/>
        </w:rPr>
        <w:t>6</w:t>
      </w:r>
    </w:p>
    <w:p w14:paraId="06B96E41" w14:textId="77777777" w:rsidR="009D1333" w:rsidRPr="00971D73" w:rsidRDefault="009D1333" w:rsidP="007E26A2">
      <w:pPr>
        <w:spacing w:after="0" w:line="240" w:lineRule="auto"/>
        <w:jc w:val="center"/>
        <w:rPr>
          <w:b/>
          <w:bCs/>
          <w:sz w:val="22"/>
          <w:szCs w:val="22"/>
          <w:lang w:val="en-GB"/>
        </w:rPr>
      </w:pPr>
    </w:p>
    <w:p w14:paraId="04B12737" w14:textId="7ED0D005" w:rsidR="009D1333" w:rsidRPr="00971D73" w:rsidRDefault="009D1333" w:rsidP="007E26A2">
      <w:pPr>
        <w:spacing w:after="0" w:line="240" w:lineRule="auto"/>
        <w:jc w:val="center"/>
        <w:rPr>
          <w:b/>
          <w:bCs/>
          <w:sz w:val="22"/>
          <w:szCs w:val="22"/>
          <w:lang w:val="en-GB"/>
        </w:rPr>
      </w:pPr>
      <w:r w:rsidRPr="00971D73">
        <w:rPr>
          <w:b/>
          <w:bCs/>
          <w:noProof/>
          <w:sz w:val="22"/>
          <w:szCs w:val="22"/>
          <w:lang w:val="en-GB"/>
        </w:rPr>
        <w:drawing>
          <wp:inline distT="0" distB="0" distL="0" distR="0" wp14:anchorId="3B38FD94" wp14:editId="2D0E82CA">
            <wp:extent cx="2621280" cy="652145"/>
            <wp:effectExtent l="0" t="0" r="0" b="0"/>
            <wp:docPr id="1825458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652145"/>
                    </a:xfrm>
                    <a:prstGeom prst="rect">
                      <a:avLst/>
                    </a:prstGeom>
                    <a:noFill/>
                  </pic:spPr>
                </pic:pic>
              </a:graphicData>
            </a:graphic>
          </wp:inline>
        </w:drawing>
      </w:r>
    </w:p>
    <w:p w14:paraId="39A08CF7" w14:textId="77777777" w:rsidR="00A55905" w:rsidRPr="00971D73" w:rsidRDefault="00A55905" w:rsidP="0072113A">
      <w:pPr>
        <w:spacing w:after="0" w:line="240" w:lineRule="auto"/>
        <w:jc w:val="center"/>
        <w:rPr>
          <w:b/>
          <w:bCs/>
          <w:sz w:val="22"/>
          <w:szCs w:val="22"/>
          <w:lang w:val="en-GB"/>
        </w:rPr>
      </w:pPr>
    </w:p>
    <w:p w14:paraId="149B9C3B" w14:textId="1B3A1F62" w:rsidR="0093769C" w:rsidRPr="00971D73" w:rsidRDefault="0010161B" w:rsidP="0072113A">
      <w:pPr>
        <w:spacing w:after="0" w:line="240" w:lineRule="auto"/>
        <w:jc w:val="center"/>
        <w:rPr>
          <w:sz w:val="22"/>
          <w:szCs w:val="22"/>
          <w:lang w:val="en-GB"/>
        </w:rPr>
      </w:pPr>
      <w:r w:rsidRPr="00971D73">
        <w:rPr>
          <w:b/>
          <w:bCs/>
          <w:sz w:val="22"/>
          <w:szCs w:val="22"/>
          <w:lang w:val="en-GB"/>
        </w:rPr>
        <w:t>Talisman Metals PLC</w:t>
      </w:r>
    </w:p>
    <w:p w14:paraId="30C543CC" w14:textId="4FC77C69" w:rsidR="0093769C" w:rsidRPr="00971D73" w:rsidRDefault="0093769C" w:rsidP="0072113A">
      <w:pPr>
        <w:spacing w:after="0" w:line="240" w:lineRule="auto"/>
        <w:jc w:val="center"/>
        <w:rPr>
          <w:sz w:val="22"/>
          <w:szCs w:val="22"/>
          <w:lang w:val="en-GB"/>
        </w:rPr>
      </w:pPr>
    </w:p>
    <w:p w14:paraId="1AC6C413" w14:textId="12E6CC29" w:rsidR="0093769C" w:rsidRDefault="0093769C" w:rsidP="0072113A">
      <w:pPr>
        <w:spacing w:after="0" w:line="240" w:lineRule="auto"/>
        <w:jc w:val="center"/>
        <w:rPr>
          <w:b/>
          <w:bCs/>
          <w:sz w:val="22"/>
          <w:szCs w:val="22"/>
          <w:lang w:val="en-GB"/>
        </w:rPr>
      </w:pPr>
      <w:r w:rsidRPr="00971D73">
        <w:rPr>
          <w:b/>
          <w:bCs/>
          <w:sz w:val="22"/>
          <w:szCs w:val="22"/>
          <w:lang w:val="en-GB"/>
        </w:rPr>
        <w:t>("</w:t>
      </w:r>
      <w:r w:rsidR="0010161B" w:rsidRPr="00971D73">
        <w:rPr>
          <w:b/>
          <w:bCs/>
          <w:sz w:val="22"/>
          <w:szCs w:val="22"/>
          <w:lang w:val="en-GB"/>
        </w:rPr>
        <w:t>Talisman</w:t>
      </w:r>
      <w:r w:rsidRPr="00971D73">
        <w:rPr>
          <w:b/>
          <w:bCs/>
          <w:sz w:val="22"/>
          <w:szCs w:val="22"/>
          <w:lang w:val="en-GB"/>
        </w:rPr>
        <w:t>" or the "Company")</w:t>
      </w:r>
    </w:p>
    <w:p w14:paraId="33A51428" w14:textId="77777777" w:rsidR="00324ECE" w:rsidRDefault="00324ECE" w:rsidP="0072113A">
      <w:pPr>
        <w:spacing w:after="0" w:line="240" w:lineRule="auto"/>
        <w:jc w:val="center"/>
        <w:rPr>
          <w:b/>
          <w:bCs/>
          <w:sz w:val="22"/>
          <w:szCs w:val="22"/>
          <w:lang w:val="en-GB"/>
        </w:rPr>
      </w:pPr>
    </w:p>
    <w:p w14:paraId="6D3F3067" w14:textId="5F2376F6" w:rsidR="009D3BAD" w:rsidRPr="00971D73" w:rsidRDefault="00A37B27" w:rsidP="0072113A">
      <w:pPr>
        <w:spacing w:after="0" w:line="240" w:lineRule="auto"/>
        <w:jc w:val="center"/>
        <w:rPr>
          <w:b/>
          <w:sz w:val="22"/>
          <w:lang w:val="en-GB"/>
        </w:rPr>
      </w:pPr>
      <w:r>
        <w:rPr>
          <w:b/>
          <w:bCs/>
          <w:sz w:val="22"/>
          <w:szCs w:val="22"/>
          <w:lang w:val="en-GB"/>
        </w:rPr>
        <w:t xml:space="preserve">Publication of </w:t>
      </w:r>
      <w:r w:rsidR="005C719E">
        <w:rPr>
          <w:b/>
          <w:bCs/>
          <w:sz w:val="22"/>
          <w:szCs w:val="22"/>
          <w:lang w:val="en-GB"/>
        </w:rPr>
        <w:t>2025 Annual Report</w:t>
      </w:r>
      <w:r w:rsidR="0072113A" w:rsidRPr="0072113A">
        <w:rPr>
          <w:b/>
          <w:bCs/>
          <w:sz w:val="22"/>
          <w:szCs w:val="22"/>
          <w:lang w:val="en-GB"/>
        </w:rPr>
        <w:t xml:space="preserve"> </w:t>
      </w:r>
    </w:p>
    <w:p w14:paraId="565CD402" w14:textId="32FCA342" w:rsidR="0093769C" w:rsidRDefault="0093769C" w:rsidP="0072113A">
      <w:pPr>
        <w:spacing w:after="0" w:line="240" w:lineRule="auto"/>
        <w:jc w:val="center"/>
        <w:rPr>
          <w:sz w:val="22"/>
          <w:szCs w:val="22"/>
          <w:lang w:val="en-GB"/>
        </w:rPr>
      </w:pPr>
    </w:p>
    <w:p w14:paraId="0BB4FBBA" w14:textId="77777777" w:rsidR="00324ECE" w:rsidRPr="00971D73" w:rsidRDefault="00324ECE" w:rsidP="0072113A">
      <w:pPr>
        <w:spacing w:after="0" w:line="240" w:lineRule="auto"/>
        <w:jc w:val="center"/>
        <w:rPr>
          <w:sz w:val="22"/>
          <w:szCs w:val="22"/>
          <w:lang w:val="en-GB"/>
        </w:rPr>
      </w:pPr>
    </w:p>
    <w:p w14:paraId="04D9740C" w14:textId="351BE2EA" w:rsidR="00014C70" w:rsidRPr="007747B2" w:rsidRDefault="00035C75" w:rsidP="0051460D">
      <w:pPr>
        <w:spacing w:after="0" w:line="240" w:lineRule="auto"/>
        <w:jc w:val="both"/>
        <w:rPr>
          <w:sz w:val="22"/>
          <w:szCs w:val="22"/>
        </w:rPr>
      </w:pPr>
      <w:r w:rsidRPr="00035C75">
        <w:rPr>
          <w:sz w:val="22"/>
          <w:szCs w:val="22"/>
          <w:lang w:val="en-GB"/>
        </w:rPr>
        <w:t xml:space="preserve">Talisman Metals PLC (“Talisman” or the “Company”) </w:t>
      </w:r>
      <w:r w:rsidR="00014C70" w:rsidRPr="00782878">
        <w:rPr>
          <w:sz w:val="22"/>
          <w:szCs w:val="22"/>
          <w:lang w:val="en-GB"/>
        </w:rPr>
        <w:t xml:space="preserve">announces the publication of its Annual Report and </w:t>
      </w:r>
      <w:r w:rsidR="007747B2" w:rsidRPr="00782878">
        <w:rPr>
          <w:sz w:val="22"/>
          <w:szCs w:val="22"/>
          <w:lang w:val="en-GB"/>
        </w:rPr>
        <w:t xml:space="preserve">Audited </w:t>
      </w:r>
      <w:r w:rsidR="00014C70" w:rsidRPr="00782878">
        <w:rPr>
          <w:sz w:val="22"/>
          <w:szCs w:val="22"/>
          <w:lang w:val="en-GB"/>
        </w:rPr>
        <w:t>Financial Statements for the year ended 31 December 2025</w:t>
      </w:r>
      <w:r w:rsidR="0051460D">
        <w:rPr>
          <w:sz w:val="22"/>
          <w:szCs w:val="22"/>
          <w:lang w:val="en-GB"/>
        </w:rPr>
        <w:t xml:space="preserve"> (the “Accounts”), which are available on the Company’s website www.talismanmetalsplc.com</w:t>
      </w:r>
      <w:r w:rsidR="00014C70" w:rsidRPr="00782878">
        <w:rPr>
          <w:sz w:val="22"/>
          <w:szCs w:val="22"/>
          <w:lang w:val="en-GB"/>
        </w:rPr>
        <w:t xml:space="preserve">. </w:t>
      </w:r>
      <w:r w:rsidR="00EF6FB3" w:rsidRPr="007747B2">
        <w:rPr>
          <w:sz w:val="22"/>
          <w:szCs w:val="22"/>
        </w:rPr>
        <w:t>A</w:t>
      </w:r>
      <w:r w:rsidR="0051460D">
        <w:rPr>
          <w:sz w:val="22"/>
          <w:szCs w:val="22"/>
        </w:rPr>
        <w:t xml:space="preserve">dditionally, a </w:t>
      </w:r>
      <w:r w:rsidR="00EF6FB3" w:rsidRPr="007747B2">
        <w:rPr>
          <w:sz w:val="22"/>
          <w:szCs w:val="22"/>
        </w:rPr>
        <w:t xml:space="preserve">copy of the Accounts is being posted to </w:t>
      </w:r>
      <w:r w:rsidR="00004820">
        <w:rPr>
          <w:sz w:val="22"/>
          <w:szCs w:val="22"/>
        </w:rPr>
        <w:t>S</w:t>
      </w:r>
      <w:r w:rsidR="00EF6FB3" w:rsidRPr="007747B2">
        <w:rPr>
          <w:sz w:val="22"/>
          <w:szCs w:val="22"/>
        </w:rPr>
        <w:t>hareholders</w:t>
      </w:r>
      <w:r w:rsidR="00EF6FB3">
        <w:rPr>
          <w:sz w:val="22"/>
          <w:szCs w:val="22"/>
        </w:rPr>
        <w:t xml:space="preserve">. </w:t>
      </w:r>
      <w:r w:rsidR="005D4F4C">
        <w:rPr>
          <w:sz w:val="22"/>
          <w:szCs w:val="22"/>
        </w:rPr>
        <w:t>The Accounts cover a period prior to the Company as now enlarged by the acquisition of Tadeen</w:t>
      </w:r>
      <w:r w:rsidR="00886A39">
        <w:rPr>
          <w:sz w:val="22"/>
          <w:szCs w:val="22"/>
        </w:rPr>
        <w:t>, including all associated changes, and therefore should be read in that context.</w:t>
      </w:r>
    </w:p>
    <w:p w14:paraId="446D2B95" w14:textId="77777777" w:rsidR="00EF6FB3" w:rsidRDefault="00EF6FB3" w:rsidP="0072113A">
      <w:pPr>
        <w:spacing w:after="0" w:line="240" w:lineRule="auto"/>
        <w:jc w:val="both"/>
        <w:rPr>
          <w:sz w:val="22"/>
          <w:szCs w:val="22"/>
        </w:rPr>
      </w:pPr>
    </w:p>
    <w:p w14:paraId="40383E5C" w14:textId="55DFA5C5" w:rsidR="00A37B27" w:rsidRPr="00782878" w:rsidRDefault="00A37B27" w:rsidP="0072113A">
      <w:pPr>
        <w:spacing w:after="0" w:line="240" w:lineRule="auto"/>
        <w:jc w:val="both"/>
        <w:rPr>
          <w:sz w:val="22"/>
          <w:szCs w:val="22"/>
          <w:lang w:val="en-GB"/>
        </w:rPr>
      </w:pPr>
      <w:r w:rsidRPr="007747B2">
        <w:rPr>
          <w:sz w:val="22"/>
          <w:szCs w:val="22"/>
        </w:rPr>
        <w:t xml:space="preserve">Contained in Appendix 1 to this announcement are the unaudited interim accounts for Tadeen International Limited </w:t>
      </w:r>
      <w:r w:rsidR="00131422" w:rsidRPr="007747B2">
        <w:rPr>
          <w:sz w:val="22"/>
          <w:szCs w:val="22"/>
        </w:rPr>
        <w:t xml:space="preserve">(“Tadeen”) </w:t>
      </w:r>
      <w:r w:rsidRPr="007747B2">
        <w:rPr>
          <w:sz w:val="22"/>
          <w:szCs w:val="22"/>
        </w:rPr>
        <w:t>for the 6 months ended 31 December 2025</w:t>
      </w:r>
      <w:r w:rsidR="00131422" w:rsidRPr="007747B2">
        <w:rPr>
          <w:sz w:val="22"/>
          <w:szCs w:val="22"/>
        </w:rPr>
        <w:t xml:space="preserve">, following the </w:t>
      </w:r>
      <w:r w:rsidR="0051460D">
        <w:rPr>
          <w:sz w:val="22"/>
          <w:szCs w:val="22"/>
        </w:rPr>
        <w:t xml:space="preserve">acquisition </w:t>
      </w:r>
      <w:r w:rsidR="00131422" w:rsidRPr="007747B2">
        <w:rPr>
          <w:sz w:val="22"/>
          <w:szCs w:val="22"/>
        </w:rPr>
        <w:t>of Tadeen by Talisman as completed on</w:t>
      </w:r>
      <w:r w:rsidR="008747F7" w:rsidRPr="007747B2">
        <w:rPr>
          <w:sz w:val="22"/>
          <w:szCs w:val="22"/>
        </w:rPr>
        <w:t xml:space="preserve"> 27 January 2026.</w:t>
      </w:r>
    </w:p>
    <w:p w14:paraId="7112EFE9" w14:textId="2FC4890A" w:rsidR="005C719E" w:rsidRDefault="005C719E" w:rsidP="0072113A">
      <w:pPr>
        <w:spacing w:after="0" w:line="240" w:lineRule="auto"/>
        <w:jc w:val="both"/>
        <w:rPr>
          <w:sz w:val="22"/>
          <w:szCs w:val="22"/>
          <w:lang w:val="en-GB"/>
        </w:rPr>
      </w:pPr>
    </w:p>
    <w:p w14:paraId="78E4DD5B" w14:textId="638484AC" w:rsidR="005E3798" w:rsidRPr="009472D9" w:rsidRDefault="009472D9" w:rsidP="0072113A">
      <w:pPr>
        <w:spacing w:after="0" w:line="240" w:lineRule="auto"/>
        <w:jc w:val="both"/>
        <w:rPr>
          <w:b/>
          <w:bCs/>
          <w:sz w:val="22"/>
          <w:szCs w:val="22"/>
          <w:lang w:val="en-GB"/>
        </w:rPr>
      </w:pPr>
      <w:r w:rsidRPr="009472D9">
        <w:rPr>
          <w:b/>
          <w:bCs/>
          <w:sz w:val="22"/>
          <w:szCs w:val="22"/>
          <w:lang w:val="en-GB"/>
        </w:rPr>
        <w:t>CEO letter</w:t>
      </w:r>
    </w:p>
    <w:p w14:paraId="2C82D63C" w14:textId="77777777" w:rsidR="009472D9" w:rsidRDefault="009472D9" w:rsidP="0072113A">
      <w:pPr>
        <w:spacing w:after="0" w:line="240" w:lineRule="auto"/>
        <w:jc w:val="both"/>
        <w:rPr>
          <w:sz w:val="22"/>
          <w:szCs w:val="22"/>
          <w:lang w:val="en-GB"/>
        </w:rPr>
      </w:pPr>
    </w:p>
    <w:p w14:paraId="1382E7E5" w14:textId="3BB9C9B1" w:rsidR="005C719E" w:rsidRDefault="0072113A" w:rsidP="005C719E">
      <w:pPr>
        <w:spacing w:after="0" w:line="240" w:lineRule="auto"/>
        <w:jc w:val="both"/>
        <w:rPr>
          <w:sz w:val="22"/>
          <w:szCs w:val="22"/>
          <w:lang w:val="en-GB"/>
        </w:rPr>
      </w:pPr>
      <w:r>
        <w:rPr>
          <w:sz w:val="22"/>
          <w:szCs w:val="22"/>
          <w:lang w:val="en-GB"/>
        </w:rPr>
        <w:t>Tim McCutcheon</w:t>
      </w:r>
      <w:r w:rsidRPr="00877673">
        <w:rPr>
          <w:sz w:val="22"/>
          <w:szCs w:val="22"/>
          <w:lang w:val="en-GB"/>
        </w:rPr>
        <w:t xml:space="preserve">, </w:t>
      </w:r>
      <w:r>
        <w:rPr>
          <w:sz w:val="22"/>
          <w:szCs w:val="22"/>
          <w:lang w:val="en-GB"/>
        </w:rPr>
        <w:t>Talisman</w:t>
      </w:r>
      <w:r w:rsidRPr="00877673">
        <w:rPr>
          <w:sz w:val="22"/>
          <w:szCs w:val="22"/>
          <w:lang w:val="en-GB"/>
        </w:rPr>
        <w:t>’s CEO stated</w:t>
      </w:r>
      <w:r>
        <w:rPr>
          <w:sz w:val="22"/>
          <w:szCs w:val="22"/>
          <w:lang w:val="en-GB"/>
        </w:rPr>
        <w:t xml:space="preserve"> “</w:t>
      </w:r>
      <w:r w:rsidR="005C719E" w:rsidRPr="005C719E">
        <w:rPr>
          <w:sz w:val="22"/>
          <w:szCs w:val="22"/>
          <w:lang w:val="en-GB"/>
        </w:rPr>
        <w:t>Dear Shareholders, Colleagues and Stakeholders,</w:t>
      </w:r>
      <w:r w:rsidR="005C719E">
        <w:rPr>
          <w:sz w:val="22"/>
          <w:szCs w:val="22"/>
          <w:lang w:val="en-GB"/>
        </w:rPr>
        <w:t xml:space="preserve"> </w:t>
      </w:r>
      <w:r w:rsidR="005C719E" w:rsidRPr="005C719E">
        <w:rPr>
          <w:sz w:val="22"/>
          <w:szCs w:val="22"/>
          <w:lang w:val="en-GB"/>
        </w:rPr>
        <w:t xml:space="preserve">2025 was a truly transformational year for Talisman Metals PLC, where management took all the steps to navigate the change of business, AIM readmission, fund raising and accounting requirements to become what we are today – a focused copper exploration asset developer with projects in Morocco. This process took longer than expected due to </w:t>
      </w:r>
      <w:r w:rsidR="00FA2C3F">
        <w:rPr>
          <w:sz w:val="22"/>
          <w:szCs w:val="22"/>
          <w:lang w:val="en-GB"/>
        </w:rPr>
        <w:t xml:space="preserve">the </w:t>
      </w:r>
      <w:r w:rsidR="005C719E" w:rsidRPr="005C719E">
        <w:rPr>
          <w:sz w:val="22"/>
          <w:szCs w:val="22"/>
          <w:lang w:val="en-GB"/>
        </w:rPr>
        <w:t xml:space="preserve">transaction complexity. However, due to the perseverance of management, and with support from our directors, we were able to finish out all the work right in time for the </w:t>
      </w:r>
      <w:r w:rsidR="00FA2C3F">
        <w:rPr>
          <w:sz w:val="22"/>
          <w:szCs w:val="22"/>
          <w:lang w:val="en-GB"/>
        </w:rPr>
        <w:t>N</w:t>
      </w:r>
      <w:r w:rsidR="005C719E" w:rsidRPr="005C719E">
        <w:rPr>
          <w:sz w:val="22"/>
          <w:szCs w:val="22"/>
          <w:lang w:val="en-GB"/>
        </w:rPr>
        <w:t xml:space="preserve">ew </w:t>
      </w:r>
      <w:r w:rsidR="00FA2C3F">
        <w:rPr>
          <w:sz w:val="22"/>
          <w:szCs w:val="22"/>
          <w:lang w:val="en-GB"/>
        </w:rPr>
        <w:t>Y</w:t>
      </w:r>
      <w:r w:rsidR="005C719E" w:rsidRPr="005C719E">
        <w:rPr>
          <w:sz w:val="22"/>
          <w:szCs w:val="22"/>
          <w:lang w:val="en-GB"/>
        </w:rPr>
        <w:t>ear! I wish to say “Thank you” to all the people who helped make this possible.</w:t>
      </w:r>
    </w:p>
    <w:p w14:paraId="6A06DA32" w14:textId="77777777" w:rsidR="005C719E" w:rsidRPr="005C719E" w:rsidRDefault="005C719E" w:rsidP="005C719E">
      <w:pPr>
        <w:spacing w:after="0" w:line="240" w:lineRule="auto"/>
        <w:jc w:val="both"/>
        <w:rPr>
          <w:sz w:val="22"/>
          <w:szCs w:val="22"/>
          <w:lang w:val="en-GB"/>
        </w:rPr>
      </w:pPr>
    </w:p>
    <w:p w14:paraId="2006E661" w14:textId="617B637E" w:rsidR="005C719E" w:rsidRDefault="005C719E" w:rsidP="005C719E">
      <w:pPr>
        <w:spacing w:after="0" w:line="240" w:lineRule="auto"/>
        <w:jc w:val="both"/>
        <w:rPr>
          <w:sz w:val="22"/>
          <w:szCs w:val="22"/>
          <w:lang w:val="en-GB"/>
        </w:rPr>
      </w:pPr>
      <w:r w:rsidRPr="005C719E">
        <w:rPr>
          <w:sz w:val="22"/>
          <w:szCs w:val="22"/>
          <w:lang w:val="en-GB"/>
        </w:rPr>
        <w:t xml:space="preserve">Morocco as a jurisdiction to work </w:t>
      </w:r>
      <w:r w:rsidR="00243368">
        <w:rPr>
          <w:sz w:val="22"/>
          <w:szCs w:val="22"/>
          <w:lang w:val="en-GB"/>
        </w:rPr>
        <w:t xml:space="preserve">in, </w:t>
      </w:r>
      <w:r w:rsidRPr="005C719E">
        <w:rPr>
          <w:sz w:val="22"/>
          <w:szCs w:val="22"/>
          <w:lang w:val="en-GB"/>
        </w:rPr>
        <w:t xml:space="preserve">is one of the best </w:t>
      </w:r>
      <w:r w:rsidR="00243368">
        <w:rPr>
          <w:sz w:val="22"/>
          <w:szCs w:val="22"/>
          <w:lang w:val="en-GB"/>
        </w:rPr>
        <w:t xml:space="preserve">I have seen </w:t>
      </w:r>
      <w:r w:rsidRPr="005C719E">
        <w:rPr>
          <w:sz w:val="22"/>
          <w:szCs w:val="22"/>
          <w:lang w:val="en-GB"/>
        </w:rPr>
        <w:t>in my career, with a fresh mining code, a supportive government, and people who truly want to see the mining sector succeed in their country. Copper as an exploration and development target, is one of the best in the mineral business. Looming supply issues and robust projected demand due to AI power needs, electric cars, and power grid build-out all point to a bright future for copper prices. This backdrop is systemic, meaning its conditions will be in place for a long time and presents a constant tailwind to Talisman as we advance our projects forward.</w:t>
      </w:r>
    </w:p>
    <w:p w14:paraId="6E2F935D" w14:textId="77777777" w:rsidR="005C719E" w:rsidRPr="005C719E" w:rsidRDefault="005C719E" w:rsidP="005C719E">
      <w:pPr>
        <w:spacing w:after="0" w:line="240" w:lineRule="auto"/>
        <w:jc w:val="both"/>
        <w:rPr>
          <w:sz w:val="22"/>
          <w:szCs w:val="22"/>
          <w:lang w:val="en-GB"/>
        </w:rPr>
      </w:pPr>
    </w:p>
    <w:p w14:paraId="43C0D4D4" w14:textId="2AE93CC2" w:rsidR="005C719E" w:rsidRDefault="005C719E" w:rsidP="005C719E">
      <w:pPr>
        <w:spacing w:after="0" w:line="240" w:lineRule="auto"/>
        <w:jc w:val="both"/>
        <w:rPr>
          <w:sz w:val="22"/>
          <w:szCs w:val="22"/>
          <w:lang w:val="en-GB"/>
        </w:rPr>
      </w:pPr>
      <w:r w:rsidRPr="005C719E">
        <w:rPr>
          <w:sz w:val="22"/>
          <w:szCs w:val="22"/>
          <w:lang w:val="en-GB"/>
        </w:rPr>
        <w:t xml:space="preserve">For 2026 we are rapidly </w:t>
      </w:r>
      <w:proofErr w:type="gramStart"/>
      <w:r w:rsidRPr="005C719E">
        <w:rPr>
          <w:sz w:val="22"/>
          <w:szCs w:val="22"/>
          <w:lang w:val="en-GB"/>
        </w:rPr>
        <w:t>building-out</w:t>
      </w:r>
      <w:proofErr w:type="gramEnd"/>
      <w:r w:rsidRPr="005C719E">
        <w:rPr>
          <w:sz w:val="22"/>
          <w:szCs w:val="22"/>
          <w:lang w:val="en-GB"/>
        </w:rPr>
        <w:t xml:space="preserve"> our capacity to work in the field by establishing relationships with contractors and partners, as well as bringing new talent onto the Talisman team. As I write this, the first work at our </w:t>
      </w:r>
      <w:proofErr w:type="spellStart"/>
      <w:r w:rsidRPr="005C719E">
        <w:rPr>
          <w:sz w:val="22"/>
          <w:szCs w:val="22"/>
          <w:lang w:val="en-GB"/>
        </w:rPr>
        <w:t>Fougnar</w:t>
      </w:r>
      <w:proofErr w:type="spellEnd"/>
      <w:r w:rsidRPr="005C719E">
        <w:rPr>
          <w:sz w:val="22"/>
          <w:szCs w:val="22"/>
          <w:lang w:val="en-GB"/>
        </w:rPr>
        <w:t xml:space="preserve"> and </w:t>
      </w:r>
      <w:proofErr w:type="spellStart"/>
      <w:r w:rsidRPr="005C719E">
        <w:rPr>
          <w:sz w:val="22"/>
          <w:szCs w:val="22"/>
          <w:lang w:val="en-GB"/>
        </w:rPr>
        <w:t>Tirzzit</w:t>
      </w:r>
      <w:proofErr w:type="spellEnd"/>
      <w:r w:rsidRPr="005C719E">
        <w:rPr>
          <w:sz w:val="22"/>
          <w:szCs w:val="22"/>
          <w:lang w:val="en-GB"/>
        </w:rPr>
        <w:t xml:space="preserve"> projects has been completed and results announced. We will continue our work through to the end of the year with the goal of </w:t>
      </w:r>
      <w:r w:rsidR="004D7CF5">
        <w:rPr>
          <w:sz w:val="22"/>
          <w:szCs w:val="22"/>
          <w:lang w:val="en-GB"/>
        </w:rPr>
        <w:t>publishing</w:t>
      </w:r>
      <w:r w:rsidRPr="005C719E">
        <w:rPr>
          <w:sz w:val="22"/>
          <w:szCs w:val="22"/>
          <w:lang w:val="en-GB"/>
        </w:rPr>
        <w:t xml:space="preserve"> a </w:t>
      </w:r>
      <w:r w:rsidR="00811831">
        <w:rPr>
          <w:sz w:val="22"/>
          <w:szCs w:val="22"/>
          <w:lang w:val="en-GB"/>
        </w:rPr>
        <w:t>Mineral R</w:t>
      </w:r>
      <w:r w:rsidRPr="005C719E">
        <w:rPr>
          <w:sz w:val="22"/>
          <w:szCs w:val="22"/>
          <w:lang w:val="en-GB"/>
        </w:rPr>
        <w:t xml:space="preserve">esource </w:t>
      </w:r>
      <w:r w:rsidR="00811831">
        <w:rPr>
          <w:sz w:val="22"/>
          <w:szCs w:val="22"/>
          <w:lang w:val="en-GB"/>
        </w:rPr>
        <w:t xml:space="preserve">Estimate </w:t>
      </w:r>
      <w:r w:rsidRPr="005C719E">
        <w:rPr>
          <w:sz w:val="22"/>
          <w:szCs w:val="22"/>
          <w:lang w:val="en-GB"/>
        </w:rPr>
        <w:t>at both projects.</w:t>
      </w:r>
    </w:p>
    <w:p w14:paraId="4296623F" w14:textId="77777777" w:rsidR="005C719E" w:rsidRPr="005C719E" w:rsidRDefault="005C719E" w:rsidP="005C719E">
      <w:pPr>
        <w:spacing w:after="0" w:line="240" w:lineRule="auto"/>
        <w:jc w:val="both"/>
        <w:rPr>
          <w:sz w:val="22"/>
          <w:szCs w:val="22"/>
          <w:lang w:val="en-GB"/>
        </w:rPr>
      </w:pPr>
    </w:p>
    <w:p w14:paraId="57B1AEB1" w14:textId="77777777" w:rsidR="005C719E" w:rsidRDefault="005C719E" w:rsidP="005C719E">
      <w:pPr>
        <w:spacing w:after="0" w:line="240" w:lineRule="auto"/>
        <w:jc w:val="both"/>
        <w:rPr>
          <w:sz w:val="22"/>
          <w:szCs w:val="22"/>
          <w:lang w:val="en-GB"/>
        </w:rPr>
      </w:pPr>
      <w:r w:rsidRPr="005C719E">
        <w:rPr>
          <w:sz w:val="22"/>
          <w:szCs w:val="22"/>
          <w:lang w:val="en-GB"/>
        </w:rPr>
        <w:t>On the capital markets, we are still a new company working to get recognition. In parallel with getting operational results, management is raising the awareness of Talisman amongst a broad investor audience so that our operational success can be best reflected into our valuation. This work never ends and I encourage the reader to feel free to reach out to management with any questions – information flow is the best friend of success on the capital markets!</w:t>
      </w:r>
    </w:p>
    <w:p w14:paraId="2EBB98F5" w14:textId="77777777" w:rsidR="005C719E" w:rsidRPr="005C719E" w:rsidRDefault="005C719E" w:rsidP="005C719E">
      <w:pPr>
        <w:spacing w:after="0" w:line="240" w:lineRule="auto"/>
        <w:jc w:val="both"/>
        <w:rPr>
          <w:sz w:val="22"/>
          <w:szCs w:val="22"/>
          <w:lang w:val="en-GB"/>
        </w:rPr>
      </w:pPr>
    </w:p>
    <w:p w14:paraId="7B5FD8F7" w14:textId="50CCBA1D" w:rsidR="005C719E" w:rsidRPr="005C719E" w:rsidRDefault="005C719E" w:rsidP="005C719E">
      <w:pPr>
        <w:spacing w:after="0" w:line="240" w:lineRule="auto"/>
        <w:jc w:val="both"/>
        <w:rPr>
          <w:sz w:val="22"/>
          <w:szCs w:val="22"/>
          <w:lang w:val="en-GB"/>
        </w:rPr>
      </w:pPr>
      <w:r w:rsidRPr="005C719E">
        <w:rPr>
          <w:sz w:val="22"/>
          <w:szCs w:val="22"/>
          <w:lang w:val="en-GB"/>
        </w:rPr>
        <w:t xml:space="preserve">In summary, 2025 was a </w:t>
      </w:r>
      <w:r w:rsidR="00787A97">
        <w:rPr>
          <w:sz w:val="22"/>
          <w:szCs w:val="22"/>
          <w:lang w:val="en-GB"/>
        </w:rPr>
        <w:t>transformational</w:t>
      </w:r>
      <w:r w:rsidR="00787A97" w:rsidRPr="005C719E">
        <w:rPr>
          <w:sz w:val="22"/>
          <w:szCs w:val="22"/>
          <w:lang w:val="en-GB"/>
        </w:rPr>
        <w:t xml:space="preserve"> </w:t>
      </w:r>
      <w:r w:rsidRPr="005C719E">
        <w:rPr>
          <w:sz w:val="22"/>
          <w:szCs w:val="22"/>
          <w:lang w:val="en-GB"/>
        </w:rPr>
        <w:t>year and 2026 shows no signs of slowing down for us. However, Talisman is well worth the effort, as we have a very special group of people and assets to build a true legacy. Thank you for your attention and support.</w:t>
      </w:r>
      <w:r>
        <w:rPr>
          <w:sz w:val="22"/>
          <w:szCs w:val="22"/>
          <w:lang w:val="en-GB"/>
        </w:rPr>
        <w:t xml:space="preserve"> </w:t>
      </w:r>
      <w:r w:rsidRPr="005C719E">
        <w:rPr>
          <w:sz w:val="22"/>
          <w:szCs w:val="22"/>
          <w:lang w:val="en-GB"/>
        </w:rPr>
        <w:t>Sincerely,</w:t>
      </w:r>
      <w:r>
        <w:rPr>
          <w:sz w:val="22"/>
          <w:szCs w:val="22"/>
          <w:lang w:val="en-GB"/>
        </w:rPr>
        <w:t xml:space="preserve"> </w:t>
      </w:r>
      <w:r w:rsidRPr="005C719E">
        <w:rPr>
          <w:sz w:val="22"/>
          <w:szCs w:val="22"/>
          <w:lang w:val="en-GB"/>
        </w:rPr>
        <w:t>Tim McCutcheon</w:t>
      </w:r>
      <w:r>
        <w:rPr>
          <w:sz w:val="22"/>
          <w:szCs w:val="22"/>
          <w:lang w:val="en-GB"/>
        </w:rPr>
        <w:t>”</w:t>
      </w:r>
    </w:p>
    <w:p w14:paraId="068310D0" w14:textId="77777777" w:rsidR="005C719E" w:rsidRDefault="005C719E" w:rsidP="00B61507">
      <w:pPr>
        <w:spacing w:after="0" w:line="240" w:lineRule="auto"/>
        <w:rPr>
          <w:sz w:val="22"/>
          <w:szCs w:val="22"/>
          <w:lang w:val="en-GB"/>
        </w:rPr>
      </w:pPr>
    </w:p>
    <w:p w14:paraId="51273DD3" w14:textId="7EB0441E" w:rsidR="009472D9" w:rsidRPr="009472D9" w:rsidRDefault="009472D9" w:rsidP="00B61507">
      <w:pPr>
        <w:spacing w:after="0" w:line="240" w:lineRule="auto"/>
        <w:rPr>
          <w:b/>
          <w:bCs/>
          <w:sz w:val="22"/>
          <w:szCs w:val="22"/>
          <w:lang w:val="en-GB"/>
        </w:rPr>
      </w:pPr>
      <w:r w:rsidRPr="009472D9">
        <w:rPr>
          <w:b/>
          <w:bCs/>
          <w:sz w:val="22"/>
          <w:szCs w:val="22"/>
          <w:lang w:val="en-GB"/>
        </w:rPr>
        <w:t>Milestones for 2025</w:t>
      </w:r>
    </w:p>
    <w:p w14:paraId="0F469015" w14:textId="77777777" w:rsidR="009472D9" w:rsidRPr="005C719E" w:rsidRDefault="009472D9" w:rsidP="00B61507">
      <w:pPr>
        <w:spacing w:after="0" w:line="240" w:lineRule="auto"/>
        <w:rPr>
          <w:sz w:val="22"/>
          <w:szCs w:val="22"/>
          <w:lang w:val="en-GB"/>
        </w:rPr>
      </w:pPr>
    </w:p>
    <w:p w14:paraId="15FE1E3F" w14:textId="3D99DBDD" w:rsidR="005C719E" w:rsidRDefault="005C719E" w:rsidP="007747B2">
      <w:pPr>
        <w:spacing w:after="0" w:line="240" w:lineRule="auto"/>
        <w:jc w:val="both"/>
        <w:rPr>
          <w:sz w:val="22"/>
          <w:szCs w:val="22"/>
          <w:lang w:val="en-GB"/>
        </w:rPr>
      </w:pPr>
      <w:r w:rsidRPr="005C719E">
        <w:rPr>
          <w:sz w:val="22"/>
          <w:szCs w:val="22"/>
          <w:lang w:val="en-GB"/>
        </w:rPr>
        <w:t xml:space="preserve">In 2025 the Company moved decisively to change its business from </w:t>
      </w:r>
      <w:proofErr w:type="gramStart"/>
      <w:r w:rsidRPr="005C719E">
        <w:rPr>
          <w:sz w:val="22"/>
          <w:szCs w:val="22"/>
          <w:lang w:val="en-GB"/>
        </w:rPr>
        <w:t xml:space="preserve">a </w:t>
      </w:r>
      <w:r w:rsidR="00376B4D" w:rsidRPr="005C719E">
        <w:rPr>
          <w:sz w:val="22"/>
          <w:szCs w:val="22"/>
          <w:lang w:val="en-GB"/>
        </w:rPr>
        <w:t>bio</w:t>
      </w:r>
      <w:r w:rsidR="00376B4D">
        <w:rPr>
          <w:sz w:val="22"/>
          <w:szCs w:val="22"/>
          <w:lang w:val="en-GB"/>
        </w:rPr>
        <w:t>pharmaceuticals</w:t>
      </w:r>
      <w:proofErr w:type="gramEnd"/>
      <w:r w:rsidRPr="005C719E">
        <w:rPr>
          <w:sz w:val="22"/>
          <w:szCs w:val="22"/>
          <w:lang w:val="en-GB"/>
        </w:rPr>
        <w:t xml:space="preserve"> focus to mineral exploration. </w:t>
      </w:r>
      <w:r>
        <w:rPr>
          <w:sz w:val="22"/>
          <w:szCs w:val="22"/>
          <w:lang w:val="en-GB"/>
        </w:rPr>
        <w:t xml:space="preserve">Key milestones in 2025 that cumulated into a change of business and eventual readmission to the AIM Market on </w:t>
      </w:r>
      <w:r w:rsidR="008747F7">
        <w:rPr>
          <w:sz w:val="22"/>
          <w:szCs w:val="22"/>
          <w:lang w:val="en-GB"/>
        </w:rPr>
        <w:t xml:space="preserve">27 </w:t>
      </w:r>
      <w:r>
        <w:rPr>
          <w:sz w:val="22"/>
          <w:szCs w:val="22"/>
          <w:lang w:val="en-GB"/>
        </w:rPr>
        <w:t>January 2026 include:</w:t>
      </w:r>
    </w:p>
    <w:p w14:paraId="00BBA5D8" w14:textId="77777777" w:rsidR="005C719E" w:rsidRDefault="005C719E" w:rsidP="007747B2">
      <w:pPr>
        <w:spacing w:after="0" w:line="240" w:lineRule="auto"/>
        <w:jc w:val="both"/>
        <w:rPr>
          <w:sz w:val="22"/>
          <w:szCs w:val="22"/>
          <w:lang w:val="en-GB"/>
        </w:rPr>
      </w:pPr>
    </w:p>
    <w:p w14:paraId="64ADB2A0" w14:textId="77777777" w:rsidR="005C719E" w:rsidRDefault="005C719E" w:rsidP="007747B2">
      <w:pPr>
        <w:spacing w:after="0" w:line="240" w:lineRule="auto"/>
        <w:jc w:val="both"/>
        <w:rPr>
          <w:sz w:val="22"/>
          <w:szCs w:val="22"/>
          <w:lang w:val="en-GB"/>
        </w:rPr>
      </w:pPr>
      <w:r w:rsidRPr="005C719E">
        <w:rPr>
          <w:sz w:val="22"/>
          <w:szCs w:val="22"/>
          <w:lang w:val="en-GB"/>
        </w:rPr>
        <w:t>March 2025</w:t>
      </w:r>
    </w:p>
    <w:p w14:paraId="6453E296" w14:textId="4D028410" w:rsidR="005C719E" w:rsidRPr="00D7372E" w:rsidRDefault="005C719E" w:rsidP="007747B2">
      <w:pPr>
        <w:pStyle w:val="ListParagraph"/>
        <w:numPr>
          <w:ilvl w:val="0"/>
          <w:numId w:val="17"/>
        </w:numPr>
        <w:spacing w:after="0" w:line="240" w:lineRule="auto"/>
        <w:jc w:val="both"/>
        <w:rPr>
          <w:sz w:val="22"/>
          <w:szCs w:val="22"/>
          <w:lang w:val="en-GB"/>
        </w:rPr>
      </w:pPr>
      <w:r w:rsidRPr="00D7372E">
        <w:rPr>
          <w:sz w:val="22"/>
          <w:szCs w:val="22"/>
          <w:lang w:val="en-GB"/>
        </w:rPr>
        <w:t>Appointment of Ms. Leah O'Donovan as Chief Financial Officer</w:t>
      </w:r>
    </w:p>
    <w:p w14:paraId="0998C7F9" w14:textId="77777777" w:rsidR="005C719E" w:rsidRDefault="005C719E" w:rsidP="007747B2">
      <w:pPr>
        <w:spacing w:after="0" w:line="240" w:lineRule="auto"/>
        <w:jc w:val="both"/>
        <w:rPr>
          <w:sz w:val="22"/>
          <w:szCs w:val="22"/>
          <w:lang w:val="en-GB"/>
        </w:rPr>
      </w:pPr>
    </w:p>
    <w:p w14:paraId="24B36B33" w14:textId="77777777" w:rsidR="005C719E" w:rsidRDefault="005C719E" w:rsidP="007747B2">
      <w:pPr>
        <w:spacing w:after="0" w:line="240" w:lineRule="auto"/>
        <w:jc w:val="both"/>
        <w:rPr>
          <w:sz w:val="22"/>
          <w:szCs w:val="22"/>
          <w:lang w:val="en-GB"/>
        </w:rPr>
      </w:pPr>
      <w:r w:rsidRPr="005C719E">
        <w:rPr>
          <w:sz w:val="22"/>
          <w:szCs w:val="22"/>
          <w:lang w:val="en-GB"/>
        </w:rPr>
        <w:t>May 2025</w:t>
      </w:r>
    </w:p>
    <w:p w14:paraId="5ABA9893" w14:textId="382166E7" w:rsidR="005C719E" w:rsidRPr="00D7372E" w:rsidRDefault="005C719E" w:rsidP="007747B2">
      <w:pPr>
        <w:pStyle w:val="ListParagraph"/>
        <w:numPr>
          <w:ilvl w:val="0"/>
          <w:numId w:val="15"/>
        </w:numPr>
        <w:spacing w:after="0" w:line="240" w:lineRule="auto"/>
        <w:jc w:val="both"/>
        <w:rPr>
          <w:sz w:val="22"/>
          <w:szCs w:val="22"/>
          <w:lang w:val="en-GB"/>
        </w:rPr>
      </w:pPr>
      <w:r w:rsidRPr="00D7372E">
        <w:rPr>
          <w:sz w:val="22"/>
          <w:szCs w:val="22"/>
          <w:lang w:val="en-GB"/>
        </w:rPr>
        <w:t xml:space="preserve">Letter of Intent signed and announced to acquire 100% </w:t>
      </w:r>
      <w:r w:rsidR="00D7372E" w:rsidRPr="00D7372E">
        <w:rPr>
          <w:sz w:val="22"/>
          <w:szCs w:val="22"/>
          <w:lang w:val="en-GB"/>
        </w:rPr>
        <w:t xml:space="preserve">of Tadeen International Limited, a company which indirectly owned </w:t>
      </w:r>
      <w:r w:rsidRPr="00D7372E">
        <w:rPr>
          <w:sz w:val="22"/>
          <w:szCs w:val="22"/>
          <w:lang w:val="en-GB"/>
        </w:rPr>
        <w:t>a portfolio of mineral exploration licenses in Morocco prospective for copper and silver.</w:t>
      </w:r>
    </w:p>
    <w:p w14:paraId="5768638A" w14:textId="77777777" w:rsidR="001236B1" w:rsidRDefault="001236B1" w:rsidP="007747B2">
      <w:pPr>
        <w:spacing w:after="0" w:line="240" w:lineRule="auto"/>
        <w:jc w:val="both"/>
        <w:rPr>
          <w:sz w:val="22"/>
          <w:szCs w:val="22"/>
          <w:lang w:val="en-GB"/>
        </w:rPr>
      </w:pPr>
    </w:p>
    <w:p w14:paraId="609CAF35" w14:textId="3615DF29" w:rsidR="005C719E" w:rsidRPr="00D7372E" w:rsidRDefault="005C719E" w:rsidP="007747B2">
      <w:pPr>
        <w:pStyle w:val="ListParagraph"/>
        <w:numPr>
          <w:ilvl w:val="0"/>
          <w:numId w:val="15"/>
        </w:numPr>
        <w:spacing w:after="0" w:line="240" w:lineRule="auto"/>
        <w:jc w:val="both"/>
        <w:rPr>
          <w:sz w:val="22"/>
          <w:szCs w:val="22"/>
          <w:lang w:val="en-GB"/>
        </w:rPr>
      </w:pPr>
      <w:r w:rsidRPr="00D7372E">
        <w:rPr>
          <w:sz w:val="22"/>
          <w:szCs w:val="22"/>
          <w:lang w:val="en-GB"/>
        </w:rPr>
        <w:t>Change of NOMAD from D</w:t>
      </w:r>
      <w:r w:rsidR="009472D9">
        <w:rPr>
          <w:sz w:val="22"/>
          <w:szCs w:val="22"/>
          <w:lang w:val="en-GB"/>
        </w:rPr>
        <w:t>avy</w:t>
      </w:r>
      <w:r w:rsidRPr="00D7372E">
        <w:rPr>
          <w:sz w:val="22"/>
          <w:szCs w:val="22"/>
          <w:lang w:val="en-GB"/>
        </w:rPr>
        <w:t xml:space="preserve"> to Beaumont Cornish Limited </w:t>
      </w:r>
    </w:p>
    <w:p w14:paraId="3D866091" w14:textId="77777777" w:rsidR="001236B1" w:rsidRDefault="001236B1" w:rsidP="007747B2">
      <w:pPr>
        <w:spacing w:after="0" w:line="240" w:lineRule="auto"/>
        <w:jc w:val="both"/>
        <w:rPr>
          <w:sz w:val="22"/>
          <w:szCs w:val="22"/>
          <w:lang w:val="en-GB"/>
        </w:rPr>
      </w:pPr>
    </w:p>
    <w:p w14:paraId="288B12C7" w14:textId="1D953B11" w:rsidR="001236B1" w:rsidRDefault="001236B1" w:rsidP="007747B2">
      <w:pPr>
        <w:spacing w:after="0" w:line="240" w:lineRule="auto"/>
        <w:jc w:val="both"/>
        <w:rPr>
          <w:sz w:val="22"/>
          <w:szCs w:val="22"/>
          <w:lang w:val="en-GB"/>
        </w:rPr>
      </w:pPr>
      <w:r>
        <w:rPr>
          <w:sz w:val="22"/>
          <w:szCs w:val="22"/>
          <w:lang w:val="en-GB"/>
        </w:rPr>
        <w:t>November 2025</w:t>
      </w:r>
    </w:p>
    <w:p w14:paraId="033A94CC" w14:textId="3D6A9F4F" w:rsidR="005C719E" w:rsidRPr="00D7372E" w:rsidRDefault="001236B1" w:rsidP="007747B2">
      <w:pPr>
        <w:pStyle w:val="ListParagraph"/>
        <w:numPr>
          <w:ilvl w:val="0"/>
          <w:numId w:val="16"/>
        </w:numPr>
        <w:spacing w:after="0" w:line="240" w:lineRule="auto"/>
        <w:jc w:val="both"/>
        <w:rPr>
          <w:sz w:val="22"/>
          <w:szCs w:val="22"/>
          <w:lang w:val="en-GB"/>
        </w:rPr>
      </w:pPr>
      <w:r w:rsidRPr="00D7372E">
        <w:rPr>
          <w:sz w:val="22"/>
          <w:szCs w:val="22"/>
          <w:lang w:val="en-GB"/>
        </w:rPr>
        <w:t xml:space="preserve">Appointment of CMC Markets UK Plc as </w:t>
      </w:r>
      <w:r w:rsidR="009472D9">
        <w:rPr>
          <w:sz w:val="22"/>
          <w:szCs w:val="22"/>
          <w:lang w:val="en-GB"/>
        </w:rPr>
        <w:t>C</w:t>
      </w:r>
      <w:r w:rsidRPr="00D7372E">
        <w:rPr>
          <w:sz w:val="22"/>
          <w:szCs w:val="22"/>
          <w:lang w:val="en-GB"/>
        </w:rPr>
        <w:t>ompany broker</w:t>
      </w:r>
    </w:p>
    <w:p w14:paraId="5F9F313A" w14:textId="77777777" w:rsidR="00D7372E" w:rsidRDefault="00D7372E" w:rsidP="007747B2">
      <w:pPr>
        <w:spacing w:after="0" w:line="240" w:lineRule="auto"/>
        <w:jc w:val="both"/>
        <w:rPr>
          <w:sz w:val="22"/>
          <w:szCs w:val="22"/>
          <w:lang w:val="en-GB"/>
        </w:rPr>
      </w:pPr>
    </w:p>
    <w:p w14:paraId="514FB8CB" w14:textId="7BF4C323" w:rsidR="00D7372E" w:rsidRDefault="00D7372E" w:rsidP="007747B2">
      <w:pPr>
        <w:spacing w:after="0" w:line="240" w:lineRule="auto"/>
        <w:jc w:val="both"/>
        <w:rPr>
          <w:sz w:val="22"/>
          <w:szCs w:val="22"/>
          <w:lang w:val="en-GB"/>
        </w:rPr>
      </w:pPr>
      <w:r>
        <w:rPr>
          <w:sz w:val="22"/>
          <w:szCs w:val="22"/>
          <w:lang w:val="en-GB"/>
        </w:rPr>
        <w:t>December 2025</w:t>
      </w:r>
    </w:p>
    <w:p w14:paraId="2B311E39" w14:textId="5F5390AE" w:rsidR="00D7372E" w:rsidRPr="00D7372E" w:rsidRDefault="00D7372E" w:rsidP="007747B2">
      <w:pPr>
        <w:pStyle w:val="ListParagraph"/>
        <w:numPr>
          <w:ilvl w:val="0"/>
          <w:numId w:val="16"/>
        </w:numPr>
        <w:spacing w:after="0" w:line="240" w:lineRule="auto"/>
        <w:jc w:val="both"/>
        <w:rPr>
          <w:sz w:val="22"/>
          <w:szCs w:val="22"/>
          <w:lang w:val="en-GB"/>
        </w:rPr>
      </w:pPr>
      <w:r w:rsidRPr="00D7372E">
        <w:rPr>
          <w:sz w:val="22"/>
          <w:szCs w:val="22"/>
          <w:lang w:val="en-GB"/>
        </w:rPr>
        <w:t xml:space="preserve">Publication of Admission Document and </w:t>
      </w:r>
      <w:r w:rsidR="00256CD5">
        <w:rPr>
          <w:sz w:val="22"/>
          <w:szCs w:val="22"/>
          <w:lang w:val="en-GB"/>
        </w:rPr>
        <w:t>notice</w:t>
      </w:r>
      <w:r w:rsidR="00256CD5" w:rsidRPr="00D7372E">
        <w:rPr>
          <w:sz w:val="22"/>
          <w:szCs w:val="22"/>
          <w:lang w:val="en-GB"/>
        </w:rPr>
        <w:t xml:space="preserve"> </w:t>
      </w:r>
      <w:r w:rsidRPr="00D7372E">
        <w:rPr>
          <w:sz w:val="22"/>
          <w:szCs w:val="22"/>
          <w:lang w:val="en-GB"/>
        </w:rPr>
        <w:t>for annual shareholder meeting and an extraordinary shareholder meeting to approve the acquisition of 100% of Tadeen International Limited, change the Company name to Talisman Metals plc, a 15 million share issuance to raise capital, a Share Capital Reorganisation of three existing shares for one new share</w:t>
      </w:r>
      <w:r w:rsidR="00782878">
        <w:rPr>
          <w:sz w:val="22"/>
          <w:szCs w:val="22"/>
          <w:lang w:val="en-GB"/>
        </w:rPr>
        <w:t xml:space="preserve"> and</w:t>
      </w:r>
      <w:r w:rsidRPr="00D7372E">
        <w:rPr>
          <w:sz w:val="22"/>
          <w:szCs w:val="22"/>
          <w:lang w:val="en-GB"/>
        </w:rPr>
        <w:t xml:space="preserve"> admission of the Enlarged Group to trading on AIM.</w:t>
      </w:r>
    </w:p>
    <w:p w14:paraId="3DCFE931" w14:textId="77777777" w:rsidR="001236B1" w:rsidRDefault="001236B1" w:rsidP="007747B2">
      <w:pPr>
        <w:spacing w:after="0" w:line="240" w:lineRule="auto"/>
        <w:jc w:val="both"/>
        <w:rPr>
          <w:sz w:val="22"/>
          <w:szCs w:val="22"/>
          <w:lang w:val="en-GB"/>
        </w:rPr>
      </w:pPr>
    </w:p>
    <w:p w14:paraId="564591EC" w14:textId="23E259C0" w:rsidR="005C719E" w:rsidRPr="005C719E" w:rsidRDefault="005C719E" w:rsidP="007747B2">
      <w:pPr>
        <w:spacing w:after="0" w:line="240" w:lineRule="auto"/>
        <w:jc w:val="both"/>
        <w:rPr>
          <w:sz w:val="22"/>
          <w:szCs w:val="22"/>
          <w:lang w:val="en-GB"/>
        </w:rPr>
      </w:pPr>
      <w:proofErr w:type="gramStart"/>
      <w:r w:rsidRPr="005C719E">
        <w:rPr>
          <w:sz w:val="22"/>
          <w:szCs w:val="22"/>
          <w:lang w:val="en-GB"/>
        </w:rPr>
        <w:t>Subsequent to</w:t>
      </w:r>
      <w:proofErr w:type="gramEnd"/>
      <w:r w:rsidRPr="005C719E">
        <w:rPr>
          <w:sz w:val="22"/>
          <w:szCs w:val="22"/>
          <w:lang w:val="en-GB"/>
        </w:rPr>
        <w:t xml:space="preserve"> year-end</w:t>
      </w:r>
      <w:r w:rsidR="00EB6765">
        <w:rPr>
          <w:sz w:val="22"/>
          <w:szCs w:val="22"/>
          <w:lang w:val="en-GB"/>
        </w:rPr>
        <w:t>,</w:t>
      </w:r>
      <w:r w:rsidRPr="005C719E">
        <w:rPr>
          <w:sz w:val="22"/>
          <w:szCs w:val="22"/>
          <w:lang w:val="en-GB"/>
        </w:rPr>
        <w:t xml:space="preserve"> a</w:t>
      </w:r>
      <w:r w:rsidR="00D7372E">
        <w:rPr>
          <w:sz w:val="22"/>
          <w:szCs w:val="22"/>
          <w:lang w:val="en-GB"/>
        </w:rPr>
        <w:t>n additional major milestone for</w:t>
      </w:r>
      <w:r w:rsidRPr="005C719E">
        <w:rPr>
          <w:sz w:val="22"/>
          <w:szCs w:val="22"/>
          <w:lang w:val="en-GB"/>
        </w:rPr>
        <w:t xml:space="preserve"> the Company</w:t>
      </w:r>
      <w:r w:rsidR="00D7372E">
        <w:rPr>
          <w:sz w:val="22"/>
          <w:szCs w:val="22"/>
          <w:lang w:val="en-GB"/>
        </w:rPr>
        <w:t xml:space="preserve"> was the </w:t>
      </w:r>
      <w:r w:rsidRPr="005C719E">
        <w:rPr>
          <w:sz w:val="22"/>
          <w:szCs w:val="22"/>
          <w:lang w:val="en-GB"/>
        </w:rPr>
        <w:t xml:space="preserve">acquisition of the </w:t>
      </w:r>
      <w:proofErr w:type="spellStart"/>
      <w:r w:rsidRPr="005C719E">
        <w:rPr>
          <w:sz w:val="22"/>
          <w:szCs w:val="22"/>
          <w:lang w:val="en-GB"/>
        </w:rPr>
        <w:t>Tirzzit</w:t>
      </w:r>
      <w:proofErr w:type="spellEnd"/>
      <w:r w:rsidRPr="005C719E">
        <w:rPr>
          <w:sz w:val="22"/>
          <w:szCs w:val="22"/>
          <w:lang w:val="en-GB"/>
        </w:rPr>
        <w:t xml:space="preserve"> Copper Project in Morocco from a subsidiary of Aya Silver &amp; Gold Inc. (TSX: AYA; OTCQX: AYASF)</w:t>
      </w:r>
      <w:r w:rsidR="00D7372E">
        <w:rPr>
          <w:sz w:val="22"/>
          <w:szCs w:val="22"/>
          <w:lang w:val="en-GB"/>
        </w:rPr>
        <w:t xml:space="preserve">, as well as the announcement of field work and its results at the </w:t>
      </w:r>
      <w:r w:rsidR="00EB6765">
        <w:rPr>
          <w:sz w:val="22"/>
          <w:szCs w:val="22"/>
          <w:lang w:val="en-GB"/>
        </w:rPr>
        <w:t>C</w:t>
      </w:r>
      <w:r w:rsidR="00D7372E">
        <w:rPr>
          <w:sz w:val="22"/>
          <w:szCs w:val="22"/>
          <w:lang w:val="en-GB"/>
        </w:rPr>
        <w:t>ompany’s projects.</w:t>
      </w:r>
    </w:p>
    <w:p w14:paraId="76C19DA6" w14:textId="77777777" w:rsidR="005C719E" w:rsidRDefault="005C719E" w:rsidP="00B61507">
      <w:pPr>
        <w:spacing w:after="0" w:line="240" w:lineRule="auto"/>
        <w:rPr>
          <w:sz w:val="22"/>
          <w:szCs w:val="22"/>
          <w:lang w:val="en-GB"/>
        </w:rPr>
      </w:pPr>
    </w:p>
    <w:p w14:paraId="2F5329AF" w14:textId="77777777" w:rsidR="009472D9" w:rsidRDefault="009472D9" w:rsidP="00B61507">
      <w:pPr>
        <w:spacing w:after="0" w:line="240" w:lineRule="auto"/>
        <w:rPr>
          <w:sz w:val="22"/>
          <w:szCs w:val="22"/>
          <w:lang w:val="en-GB"/>
        </w:rPr>
      </w:pPr>
    </w:p>
    <w:p w14:paraId="65AE9A59" w14:textId="77777777" w:rsidR="009472D9" w:rsidRPr="005C719E" w:rsidRDefault="009472D9" w:rsidP="00B61507">
      <w:pPr>
        <w:spacing w:after="0" w:line="240" w:lineRule="auto"/>
        <w:rPr>
          <w:sz w:val="22"/>
          <w:szCs w:val="22"/>
          <w:lang w:val="en-GB"/>
        </w:rPr>
      </w:pPr>
    </w:p>
    <w:p w14:paraId="67BFA12D" w14:textId="77777777" w:rsidR="005C719E" w:rsidRPr="005C719E" w:rsidRDefault="005C719E" w:rsidP="00B61507">
      <w:pPr>
        <w:spacing w:after="0" w:line="240" w:lineRule="auto"/>
        <w:rPr>
          <w:sz w:val="22"/>
          <w:szCs w:val="22"/>
          <w:lang w:val="en-GB"/>
        </w:rPr>
      </w:pPr>
    </w:p>
    <w:p w14:paraId="79E2E876" w14:textId="2D5F9CCA" w:rsidR="0093769C" w:rsidRPr="00971D73" w:rsidRDefault="0093769C" w:rsidP="00B61507">
      <w:pPr>
        <w:spacing w:after="0" w:line="240" w:lineRule="auto"/>
        <w:rPr>
          <w:sz w:val="22"/>
          <w:szCs w:val="22"/>
          <w:lang w:val="en-GB"/>
        </w:rPr>
      </w:pPr>
      <w:r w:rsidRPr="00971D73">
        <w:rPr>
          <w:b/>
          <w:bCs/>
          <w:sz w:val="22"/>
          <w:szCs w:val="22"/>
          <w:lang w:val="en-GB"/>
        </w:rPr>
        <w:t>End</w:t>
      </w:r>
    </w:p>
    <w:p w14:paraId="10FCEAEF" w14:textId="33EF3EC8" w:rsidR="0093769C" w:rsidRPr="00971D73" w:rsidRDefault="0093769C" w:rsidP="00B61507">
      <w:pPr>
        <w:spacing w:after="0" w:line="240" w:lineRule="auto"/>
        <w:rPr>
          <w:sz w:val="22"/>
          <w:szCs w:val="22"/>
          <w:lang w:val="en-GB"/>
        </w:rPr>
      </w:pPr>
    </w:p>
    <w:p w14:paraId="51CD9FC6" w14:textId="77777777" w:rsidR="0093769C" w:rsidRPr="00971D73" w:rsidRDefault="0093769C" w:rsidP="00B61507">
      <w:pPr>
        <w:spacing w:after="0" w:line="240" w:lineRule="auto"/>
        <w:rPr>
          <w:sz w:val="22"/>
          <w:szCs w:val="22"/>
          <w:lang w:val="en-GB"/>
        </w:rPr>
      </w:pPr>
      <w:r w:rsidRPr="00971D73">
        <w:rPr>
          <w:sz w:val="22"/>
          <w:szCs w:val="22"/>
          <w:lang w:val="en-GB"/>
        </w:rPr>
        <w:t>For further information:</w:t>
      </w:r>
    </w:p>
    <w:p w14:paraId="58775DAC" w14:textId="7C484C94" w:rsidR="0093769C" w:rsidRPr="00971D73" w:rsidRDefault="0093769C" w:rsidP="00B61507">
      <w:pPr>
        <w:spacing w:after="0" w:line="240" w:lineRule="auto"/>
        <w:rPr>
          <w:sz w:val="22"/>
          <w:szCs w:val="22"/>
          <w:lang w:val="en-GB"/>
        </w:rPr>
      </w:pPr>
    </w:p>
    <w:p w14:paraId="76517B27" w14:textId="6F286143" w:rsidR="0093769C" w:rsidRPr="00971D73" w:rsidRDefault="0039242F" w:rsidP="00B61507">
      <w:pPr>
        <w:spacing w:after="0" w:line="240" w:lineRule="auto"/>
        <w:rPr>
          <w:sz w:val="22"/>
          <w:szCs w:val="22"/>
          <w:lang w:val="en-GB"/>
        </w:rPr>
      </w:pPr>
      <w:r w:rsidRPr="00971D73">
        <w:rPr>
          <w:b/>
          <w:bCs/>
          <w:sz w:val="22"/>
          <w:szCs w:val="22"/>
          <w:lang w:val="en-GB"/>
        </w:rPr>
        <w:lastRenderedPageBreak/>
        <w:t>Talisman Metals PLC</w:t>
      </w:r>
    </w:p>
    <w:p w14:paraId="2EEE880C" w14:textId="19C78B56" w:rsidR="0093769C" w:rsidRPr="00971D73" w:rsidRDefault="0093769C" w:rsidP="00B61507">
      <w:pPr>
        <w:spacing w:after="0" w:line="240" w:lineRule="auto"/>
        <w:rPr>
          <w:sz w:val="22"/>
          <w:szCs w:val="22"/>
          <w:lang w:val="en-GB"/>
        </w:rPr>
      </w:pPr>
      <w:r w:rsidRPr="00971D73">
        <w:rPr>
          <w:sz w:val="22"/>
          <w:szCs w:val="22"/>
          <w:lang w:val="en-GB"/>
        </w:rPr>
        <w:t>Tim McCutcheon (Chief Executive Officer</w:t>
      </w:r>
      <w:r w:rsidR="007451D3" w:rsidRPr="00971D73">
        <w:rPr>
          <w:sz w:val="22"/>
          <w:szCs w:val="22"/>
          <w:lang w:val="en-GB"/>
        </w:rPr>
        <w:t xml:space="preserve"> and Director</w:t>
      </w:r>
      <w:r w:rsidRPr="00971D73">
        <w:rPr>
          <w:sz w:val="22"/>
          <w:szCs w:val="22"/>
          <w:lang w:val="en-GB"/>
        </w:rPr>
        <w:t>)</w:t>
      </w:r>
    </w:p>
    <w:p w14:paraId="4C035BEF" w14:textId="77777777" w:rsidR="001C5A1A" w:rsidRPr="00971D73" w:rsidRDefault="001C5A1A" w:rsidP="00B61507">
      <w:pPr>
        <w:spacing w:after="0" w:line="240" w:lineRule="auto"/>
        <w:rPr>
          <w:sz w:val="22"/>
          <w:szCs w:val="22"/>
          <w:lang w:val="en-GB"/>
        </w:rPr>
      </w:pPr>
      <w:r w:rsidRPr="00971D73">
        <w:rPr>
          <w:sz w:val="22"/>
          <w:szCs w:val="22"/>
          <w:lang w:val="en-GB"/>
        </w:rPr>
        <w:t>Tel +353 (0) 1 525 6710</w:t>
      </w:r>
    </w:p>
    <w:p w14:paraId="37EACDBF" w14:textId="77777777" w:rsidR="001C5A1A" w:rsidRPr="00971D73" w:rsidRDefault="001C5A1A" w:rsidP="00B61507">
      <w:pPr>
        <w:spacing w:after="0" w:line="240" w:lineRule="auto"/>
        <w:rPr>
          <w:sz w:val="22"/>
          <w:szCs w:val="22"/>
          <w:lang w:val="en-GB"/>
        </w:rPr>
      </w:pPr>
      <w:hyperlink r:id="rId12" w:history="1">
        <w:r w:rsidRPr="00971D73">
          <w:rPr>
            <w:rStyle w:val="Hyperlink"/>
            <w:sz w:val="22"/>
            <w:szCs w:val="22"/>
            <w:lang w:val="en-GB"/>
          </w:rPr>
          <w:t>contactus@talismanmetalsplc.com</w:t>
        </w:r>
      </w:hyperlink>
    </w:p>
    <w:p w14:paraId="3AC32D79" w14:textId="77777777" w:rsidR="0093769C" w:rsidRPr="00971D73" w:rsidRDefault="0093769C" w:rsidP="00B61507">
      <w:pPr>
        <w:spacing w:after="0" w:line="240" w:lineRule="auto"/>
        <w:rPr>
          <w:sz w:val="22"/>
          <w:szCs w:val="22"/>
          <w:lang w:val="en-GB"/>
        </w:rPr>
      </w:pPr>
    </w:p>
    <w:p w14:paraId="67B16418" w14:textId="6AB93BA1" w:rsidR="0093769C" w:rsidRPr="00971D73" w:rsidRDefault="0093769C" w:rsidP="00B61507">
      <w:pPr>
        <w:spacing w:after="0" w:line="240" w:lineRule="auto"/>
        <w:rPr>
          <w:b/>
          <w:bCs/>
          <w:sz w:val="22"/>
          <w:szCs w:val="22"/>
          <w:lang w:val="en-GB"/>
        </w:rPr>
      </w:pPr>
      <w:r w:rsidRPr="00971D73">
        <w:rPr>
          <w:b/>
          <w:bCs/>
          <w:sz w:val="22"/>
          <w:szCs w:val="22"/>
          <w:lang w:val="en-GB"/>
        </w:rPr>
        <w:t>Beaumont Cornish Limited (Nominated Adviser)</w:t>
      </w:r>
    </w:p>
    <w:p w14:paraId="5F737E7D" w14:textId="05FE1010" w:rsidR="0093769C" w:rsidRPr="00971D73" w:rsidRDefault="0093769C" w:rsidP="00B61507">
      <w:pPr>
        <w:spacing w:after="0" w:line="240" w:lineRule="auto"/>
        <w:rPr>
          <w:sz w:val="22"/>
          <w:szCs w:val="22"/>
          <w:lang w:val="en-GB"/>
        </w:rPr>
      </w:pPr>
      <w:r w:rsidRPr="00971D73">
        <w:rPr>
          <w:sz w:val="22"/>
          <w:szCs w:val="22"/>
          <w:lang w:val="en-GB"/>
        </w:rPr>
        <w:t>James Biddle</w:t>
      </w:r>
      <w:r w:rsidR="0064657A" w:rsidRPr="00971D73">
        <w:rPr>
          <w:sz w:val="22"/>
          <w:szCs w:val="22"/>
          <w:lang w:val="en-GB"/>
        </w:rPr>
        <w:t xml:space="preserve"> </w:t>
      </w:r>
      <w:r w:rsidRPr="00971D73">
        <w:rPr>
          <w:sz w:val="22"/>
          <w:szCs w:val="22"/>
          <w:lang w:val="en-GB"/>
        </w:rPr>
        <w:t>/ Roland Cornish</w:t>
      </w:r>
    </w:p>
    <w:p w14:paraId="5FCB7C1D" w14:textId="77777777" w:rsidR="0093769C" w:rsidRPr="00971D73" w:rsidRDefault="0093769C" w:rsidP="00B61507">
      <w:pPr>
        <w:spacing w:after="0" w:line="240" w:lineRule="auto"/>
        <w:rPr>
          <w:sz w:val="22"/>
          <w:szCs w:val="22"/>
          <w:lang w:val="en-GB"/>
        </w:rPr>
      </w:pPr>
      <w:r w:rsidRPr="00971D73">
        <w:rPr>
          <w:sz w:val="22"/>
          <w:szCs w:val="22"/>
          <w:lang w:val="en-GB"/>
        </w:rPr>
        <w:t>Tel: +44 (0) 207 628 3396</w:t>
      </w:r>
    </w:p>
    <w:p w14:paraId="6792058C" w14:textId="77777777" w:rsidR="0064657A" w:rsidRPr="00971D73" w:rsidRDefault="0064657A" w:rsidP="00B61507">
      <w:pPr>
        <w:spacing w:after="0" w:line="240" w:lineRule="auto"/>
        <w:rPr>
          <w:sz w:val="22"/>
          <w:szCs w:val="22"/>
          <w:lang w:val="en-GB"/>
        </w:rPr>
      </w:pPr>
    </w:p>
    <w:p w14:paraId="5B7C196F" w14:textId="7E2D664D" w:rsidR="0064657A" w:rsidRPr="00971D73" w:rsidRDefault="0064657A" w:rsidP="00B61507">
      <w:pPr>
        <w:spacing w:after="0" w:line="240" w:lineRule="auto"/>
        <w:rPr>
          <w:b/>
          <w:bCs/>
          <w:sz w:val="22"/>
          <w:szCs w:val="22"/>
          <w:lang w:val="en-GB"/>
        </w:rPr>
      </w:pPr>
      <w:r w:rsidRPr="00971D73">
        <w:rPr>
          <w:b/>
          <w:bCs/>
          <w:sz w:val="22"/>
          <w:szCs w:val="22"/>
          <w:lang w:val="en-GB"/>
        </w:rPr>
        <w:t>CMC Markets UK Plc</w:t>
      </w:r>
      <w:r w:rsidR="00A300C5">
        <w:rPr>
          <w:b/>
          <w:bCs/>
          <w:sz w:val="22"/>
          <w:szCs w:val="22"/>
          <w:lang w:val="en-GB"/>
        </w:rPr>
        <w:t xml:space="preserve"> (Broker)</w:t>
      </w:r>
    </w:p>
    <w:p w14:paraId="1C6560B2" w14:textId="5A620E08" w:rsidR="0093769C" w:rsidRPr="00971D73" w:rsidRDefault="0064657A" w:rsidP="00B61507">
      <w:pPr>
        <w:spacing w:after="0" w:line="240" w:lineRule="auto"/>
        <w:rPr>
          <w:sz w:val="22"/>
          <w:szCs w:val="22"/>
          <w:lang w:val="en-GB"/>
        </w:rPr>
      </w:pPr>
      <w:r w:rsidRPr="00971D73">
        <w:rPr>
          <w:sz w:val="22"/>
          <w:szCs w:val="22"/>
          <w:lang w:val="en-GB"/>
        </w:rPr>
        <w:t>Thomas Smith / Thomas Curran</w:t>
      </w:r>
    </w:p>
    <w:p w14:paraId="0DA65B9A" w14:textId="42104A45" w:rsidR="0064657A" w:rsidRDefault="0064657A" w:rsidP="00B61507">
      <w:pPr>
        <w:spacing w:after="0" w:line="240" w:lineRule="auto"/>
        <w:rPr>
          <w:sz w:val="22"/>
          <w:szCs w:val="22"/>
          <w:lang w:val="en-GB"/>
        </w:rPr>
      </w:pPr>
      <w:r w:rsidRPr="00971D73">
        <w:rPr>
          <w:sz w:val="22"/>
          <w:szCs w:val="22"/>
          <w:lang w:val="en-GB"/>
        </w:rPr>
        <w:t>Tel: +44 (0) 20 3003 8255</w:t>
      </w:r>
    </w:p>
    <w:p w14:paraId="4402A5A6" w14:textId="77777777" w:rsidR="00F930E2" w:rsidRDefault="00F930E2" w:rsidP="00B61507">
      <w:pPr>
        <w:spacing w:after="0" w:line="240" w:lineRule="auto"/>
        <w:rPr>
          <w:sz w:val="22"/>
          <w:szCs w:val="22"/>
          <w:lang w:val="en-GB"/>
        </w:rPr>
      </w:pPr>
    </w:p>
    <w:p w14:paraId="2041866E" w14:textId="77777777" w:rsidR="00F930E2" w:rsidRDefault="001B353F" w:rsidP="00B61507">
      <w:pPr>
        <w:spacing w:after="0" w:line="240" w:lineRule="auto"/>
        <w:rPr>
          <w:b/>
          <w:bCs/>
          <w:sz w:val="22"/>
          <w:szCs w:val="22"/>
          <w:lang w:val="en-GB"/>
        </w:rPr>
      </w:pPr>
      <w:proofErr w:type="spellStart"/>
      <w:r w:rsidRPr="001B353F">
        <w:rPr>
          <w:b/>
          <w:bCs/>
          <w:sz w:val="22"/>
          <w:szCs w:val="22"/>
          <w:lang w:val="en-GB"/>
        </w:rPr>
        <w:t>BlytheRay</w:t>
      </w:r>
      <w:proofErr w:type="spellEnd"/>
      <w:r w:rsidRPr="001B353F">
        <w:rPr>
          <w:b/>
          <w:bCs/>
          <w:sz w:val="22"/>
          <w:szCs w:val="22"/>
          <w:lang w:val="en-GB"/>
        </w:rPr>
        <w:t xml:space="preserve"> (Financial PR)</w:t>
      </w:r>
    </w:p>
    <w:p w14:paraId="6CA21E54" w14:textId="77777777" w:rsidR="00F930E2" w:rsidRDefault="001B353F" w:rsidP="00B61507">
      <w:pPr>
        <w:spacing w:after="0" w:line="240" w:lineRule="auto"/>
        <w:rPr>
          <w:sz w:val="22"/>
          <w:szCs w:val="22"/>
          <w:lang w:val="en-GB"/>
        </w:rPr>
      </w:pPr>
      <w:r w:rsidRPr="001B353F">
        <w:rPr>
          <w:sz w:val="22"/>
          <w:szCs w:val="22"/>
          <w:lang w:val="en-GB"/>
        </w:rPr>
        <w:t>Megan Ray / Said Izagaren</w:t>
      </w:r>
    </w:p>
    <w:p w14:paraId="6081C7DD" w14:textId="77777777" w:rsidR="00F930E2" w:rsidRDefault="001B353F" w:rsidP="00B61507">
      <w:pPr>
        <w:spacing w:after="0" w:line="240" w:lineRule="auto"/>
        <w:rPr>
          <w:sz w:val="22"/>
          <w:szCs w:val="22"/>
          <w:lang w:val="en-GB"/>
        </w:rPr>
      </w:pPr>
      <w:r w:rsidRPr="001B353F">
        <w:rPr>
          <w:sz w:val="22"/>
          <w:szCs w:val="22"/>
          <w:lang w:val="en-GB"/>
        </w:rPr>
        <w:t>Tel: +44 (0) 20 7138 3204</w:t>
      </w:r>
    </w:p>
    <w:p w14:paraId="6349AAC3" w14:textId="18F740E8" w:rsidR="001B353F" w:rsidRPr="001B353F" w:rsidRDefault="001B353F" w:rsidP="00B61507">
      <w:pPr>
        <w:spacing w:after="0" w:line="240" w:lineRule="auto"/>
        <w:rPr>
          <w:sz w:val="22"/>
          <w:szCs w:val="22"/>
          <w:lang w:val="en-GB"/>
        </w:rPr>
      </w:pPr>
      <w:hyperlink r:id="rId13" w:history="1">
        <w:r w:rsidRPr="001B353F">
          <w:rPr>
            <w:rStyle w:val="Hyperlink"/>
            <w:sz w:val="22"/>
            <w:szCs w:val="22"/>
            <w:lang w:val="en-GB"/>
          </w:rPr>
          <w:t>talismanmetals@blytheray.com</w:t>
        </w:r>
      </w:hyperlink>
    </w:p>
    <w:p w14:paraId="7F52A467" w14:textId="77777777" w:rsidR="00EC12C9" w:rsidRDefault="00EC12C9" w:rsidP="00B61507">
      <w:pPr>
        <w:spacing w:after="0" w:line="240" w:lineRule="auto"/>
        <w:jc w:val="both"/>
        <w:rPr>
          <w:sz w:val="22"/>
          <w:szCs w:val="22"/>
          <w:lang w:val="en-GB"/>
        </w:rPr>
      </w:pPr>
    </w:p>
    <w:p w14:paraId="61438C10" w14:textId="77777777" w:rsidR="00E25898" w:rsidRPr="007747B2" w:rsidRDefault="00E25898" w:rsidP="007747B2">
      <w:pPr>
        <w:spacing w:after="0" w:line="240" w:lineRule="auto"/>
        <w:jc w:val="both"/>
        <w:rPr>
          <w:i/>
          <w:iCs/>
          <w:sz w:val="22"/>
          <w:szCs w:val="22"/>
        </w:rPr>
      </w:pPr>
      <w:r w:rsidRPr="007747B2">
        <w:rPr>
          <w:i/>
          <w:iCs/>
          <w:sz w:val="22"/>
          <w:szCs w:val="22"/>
        </w:rPr>
        <w:t>This announcement contains inside information for the purposes of Article 7 of the Market Abuse Regulations (EU) No. 596/2014, as it forms part of UK Domestic Law by virtue of the European Union (Withdrawal) Act 2018. Upon publication of this announcement, this inside information is now considered to be in the public domain.</w:t>
      </w:r>
    </w:p>
    <w:p w14:paraId="1A53B198" w14:textId="77777777" w:rsidR="00E25898" w:rsidRDefault="00E25898" w:rsidP="00B61507">
      <w:pPr>
        <w:spacing w:after="0" w:line="240" w:lineRule="auto"/>
        <w:rPr>
          <w:b/>
          <w:bCs/>
          <w:i/>
          <w:iCs/>
          <w:sz w:val="22"/>
          <w:szCs w:val="22"/>
        </w:rPr>
      </w:pPr>
    </w:p>
    <w:p w14:paraId="4C89F06B" w14:textId="20D4AF3E" w:rsidR="0093769C" w:rsidRPr="00971D73" w:rsidRDefault="0093769C" w:rsidP="00B61507">
      <w:pPr>
        <w:spacing w:after="0" w:line="240" w:lineRule="auto"/>
        <w:rPr>
          <w:b/>
          <w:bCs/>
          <w:sz w:val="22"/>
          <w:szCs w:val="22"/>
          <w:lang w:val="en-GB"/>
        </w:rPr>
      </w:pPr>
      <w:r w:rsidRPr="00971D73">
        <w:rPr>
          <w:b/>
          <w:bCs/>
          <w:sz w:val="22"/>
          <w:szCs w:val="22"/>
          <w:lang w:val="en-GB"/>
        </w:rPr>
        <w:t>Nominated Adviser Statement</w:t>
      </w:r>
    </w:p>
    <w:p w14:paraId="62D909F1" w14:textId="77777777" w:rsidR="0093769C" w:rsidRPr="00971D73" w:rsidRDefault="0093769C" w:rsidP="00B61507">
      <w:pPr>
        <w:spacing w:after="0" w:line="240" w:lineRule="auto"/>
        <w:rPr>
          <w:sz w:val="22"/>
          <w:szCs w:val="22"/>
          <w:lang w:val="en-GB"/>
        </w:rPr>
      </w:pPr>
    </w:p>
    <w:p w14:paraId="6FB0E89B" w14:textId="01296830" w:rsidR="00973796" w:rsidRDefault="0093769C" w:rsidP="00B61507">
      <w:pPr>
        <w:spacing w:after="0" w:line="240" w:lineRule="auto"/>
        <w:jc w:val="both"/>
        <w:rPr>
          <w:sz w:val="22"/>
          <w:szCs w:val="22"/>
          <w:lang w:val="en-GB"/>
        </w:rPr>
      </w:pPr>
      <w:r w:rsidRPr="00971D73">
        <w:rPr>
          <w:sz w:val="22"/>
          <w:szCs w:val="22"/>
          <w:lang w:val="en-GB"/>
        </w:rPr>
        <w:t>Beaumont Cornish Limited ("Beaumont Cornish"), is the Company's Nominated Adviser and is authorised and regulated in the United Kingdom by the Financial Conduct Authority. Beaumont Cornish's responsibilities as the Company's Nominated Adviser, including a responsibility to advise and guide the Company on its responsibilities under the AIM Rules for Companies and AIM Rules for Nominated Advisers, are owed solely to the London Stock Exchange. Beaumont Cornish is not acting for and will not be responsible to any other person for providing the protections afforded to customers of Beaumont Cornish nor for advising them in relation to the transaction and arrangements described in the announcement or any matter referred to in it.</w:t>
      </w:r>
    </w:p>
    <w:p w14:paraId="2F9E1A5C" w14:textId="77777777" w:rsidR="00EF6FB3" w:rsidRDefault="00EF6FB3" w:rsidP="00B61507">
      <w:pPr>
        <w:spacing w:after="0" w:line="240" w:lineRule="auto"/>
        <w:jc w:val="both"/>
        <w:rPr>
          <w:sz w:val="22"/>
          <w:szCs w:val="22"/>
          <w:lang w:val="en-GB"/>
        </w:rPr>
      </w:pPr>
    </w:p>
    <w:p w14:paraId="69A3C483" w14:textId="27F61210" w:rsidR="00EF6FB3" w:rsidRDefault="00EF6FB3">
      <w:pPr>
        <w:rPr>
          <w:sz w:val="22"/>
          <w:szCs w:val="22"/>
          <w:lang w:val="en-GB"/>
        </w:rPr>
      </w:pPr>
      <w:r>
        <w:rPr>
          <w:sz w:val="22"/>
          <w:szCs w:val="22"/>
          <w:lang w:val="en-GB"/>
        </w:rPr>
        <w:br w:type="page"/>
      </w:r>
    </w:p>
    <w:p w14:paraId="261FC562" w14:textId="77777777" w:rsidR="00EF6FB3" w:rsidRDefault="00EF6FB3" w:rsidP="00B61507">
      <w:pPr>
        <w:spacing w:after="0" w:line="240" w:lineRule="auto"/>
        <w:jc w:val="both"/>
        <w:rPr>
          <w:sz w:val="22"/>
          <w:szCs w:val="22"/>
          <w:lang w:val="en-GB"/>
        </w:rPr>
      </w:pPr>
    </w:p>
    <w:p w14:paraId="5EB6D226" w14:textId="26A8D3FF" w:rsidR="00EF6FB3" w:rsidRDefault="00EF6FB3" w:rsidP="00B61507">
      <w:pPr>
        <w:spacing w:after="0" w:line="240" w:lineRule="auto"/>
        <w:jc w:val="both"/>
        <w:rPr>
          <w:b/>
          <w:bCs/>
          <w:sz w:val="22"/>
          <w:szCs w:val="22"/>
          <w:u w:val="single"/>
        </w:rPr>
      </w:pPr>
      <w:r w:rsidRPr="00EF6FB3">
        <w:rPr>
          <w:b/>
          <w:bCs/>
          <w:sz w:val="22"/>
          <w:szCs w:val="22"/>
          <w:u w:val="single"/>
        </w:rPr>
        <w:t>Appendix 1</w:t>
      </w:r>
    </w:p>
    <w:p w14:paraId="7B2D02D4" w14:textId="77777777" w:rsidR="00EF6FB3" w:rsidRPr="00EF6FB3" w:rsidRDefault="00EF6FB3" w:rsidP="00B61507">
      <w:pPr>
        <w:spacing w:after="0" w:line="240" w:lineRule="auto"/>
        <w:jc w:val="both"/>
        <w:rPr>
          <w:sz w:val="22"/>
          <w:szCs w:val="22"/>
          <w:lang w:val="en-GB"/>
        </w:rPr>
      </w:pPr>
    </w:p>
    <w:p w14:paraId="0B6D9B71" w14:textId="1B28C577" w:rsidR="00EF6FB3" w:rsidRPr="00EF6FB3" w:rsidRDefault="00EF6FB3" w:rsidP="00EF6FB3">
      <w:pPr>
        <w:spacing w:after="0" w:line="240" w:lineRule="auto"/>
        <w:jc w:val="center"/>
        <w:rPr>
          <w:sz w:val="22"/>
          <w:szCs w:val="22"/>
          <w:lang w:val="en-GB"/>
        </w:rPr>
      </w:pPr>
      <w:r>
        <w:rPr>
          <w:sz w:val="22"/>
          <w:szCs w:val="22"/>
          <w:lang w:val="en-GB"/>
        </w:rPr>
        <w:t xml:space="preserve">Tadeen International Limited </w:t>
      </w:r>
      <w:r w:rsidRPr="007747B2">
        <w:rPr>
          <w:sz w:val="22"/>
          <w:szCs w:val="22"/>
        </w:rPr>
        <w:t>unaudited interim accounts for the 6 months ended 31 December 2025</w:t>
      </w:r>
      <w:r>
        <w:rPr>
          <w:sz w:val="22"/>
          <w:szCs w:val="22"/>
        </w:rPr>
        <w:t xml:space="preserve"> (all figures in United States Dollars)</w:t>
      </w:r>
    </w:p>
    <w:p w14:paraId="636345BE" w14:textId="77777777" w:rsidR="00EF6FB3" w:rsidRDefault="00EF6FB3" w:rsidP="00B61507">
      <w:pPr>
        <w:spacing w:after="0" w:line="240" w:lineRule="auto"/>
        <w:jc w:val="both"/>
        <w:rPr>
          <w:sz w:val="22"/>
          <w:szCs w:val="22"/>
          <w:lang w:val="en-GB"/>
        </w:rPr>
      </w:pPr>
    </w:p>
    <w:p w14:paraId="2F8AB4CE" w14:textId="52690921" w:rsidR="00EF6FB3" w:rsidRDefault="00EF6FB3" w:rsidP="00B61507">
      <w:pPr>
        <w:spacing w:after="0" w:line="240" w:lineRule="auto"/>
        <w:jc w:val="both"/>
        <w:rPr>
          <w:sz w:val="22"/>
          <w:szCs w:val="22"/>
          <w:lang w:val="en-GB"/>
        </w:rPr>
      </w:pPr>
      <w:r w:rsidRPr="00EF6FB3">
        <w:rPr>
          <w:noProof/>
        </w:rPr>
        <w:drawing>
          <wp:inline distT="0" distB="0" distL="0" distR="0" wp14:anchorId="5383FEA6" wp14:editId="32BF0EEA">
            <wp:extent cx="3881541" cy="3959750"/>
            <wp:effectExtent l="0" t="0" r="5080" b="3175"/>
            <wp:docPr id="1464097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8677" cy="3967030"/>
                    </a:xfrm>
                    <a:prstGeom prst="rect">
                      <a:avLst/>
                    </a:prstGeom>
                    <a:noFill/>
                    <a:ln>
                      <a:noFill/>
                    </a:ln>
                  </pic:spPr>
                </pic:pic>
              </a:graphicData>
            </a:graphic>
          </wp:inline>
        </w:drawing>
      </w:r>
    </w:p>
    <w:p w14:paraId="0D1318FB" w14:textId="77777777" w:rsidR="00EF6FB3" w:rsidRDefault="00EF6FB3" w:rsidP="00B61507">
      <w:pPr>
        <w:spacing w:after="0" w:line="240" w:lineRule="auto"/>
        <w:jc w:val="both"/>
        <w:rPr>
          <w:sz w:val="22"/>
          <w:szCs w:val="22"/>
          <w:lang w:val="en-GB"/>
        </w:rPr>
      </w:pPr>
    </w:p>
    <w:p w14:paraId="6786ED5A" w14:textId="1177C969" w:rsidR="00EF6FB3" w:rsidRDefault="00EF6FB3" w:rsidP="00B61507">
      <w:pPr>
        <w:spacing w:after="0" w:line="240" w:lineRule="auto"/>
        <w:jc w:val="both"/>
        <w:rPr>
          <w:sz w:val="22"/>
          <w:szCs w:val="22"/>
          <w:lang w:val="en-GB"/>
        </w:rPr>
      </w:pPr>
      <w:r w:rsidRPr="00EF6FB3">
        <w:rPr>
          <w:noProof/>
        </w:rPr>
        <w:lastRenderedPageBreak/>
        <w:drawing>
          <wp:inline distT="0" distB="0" distL="0" distR="0" wp14:anchorId="252644B9" wp14:editId="548B7812">
            <wp:extent cx="4411635" cy="4953663"/>
            <wp:effectExtent l="0" t="0" r="8255" b="0"/>
            <wp:docPr id="973184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166" cy="4962120"/>
                    </a:xfrm>
                    <a:prstGeom prst="rect">
                      <a:avLst/>
                    </a:prstGeom>
                    <a:noFill/>
                    <a:ln>
                      <a:noFill/>
                    </a:ln>
                  </pic:spPr>
                </pic:pic>
              </a:graphicData>
            </a:graphic>
          </wp:inline>
        </w:drawing>
      </w:r>
    </w:p>
    <w:p w14:paraId="03E46171" w14:textId="77777777" w:rsidR="00EF6FB3" w:rsidRDefault="00EF6FB3" w:rsidP="00B61507">
      <w:pPr>
        <w:spacing w:after="0" w:line="240" w:lineRule="auto"/>
        <w:jc w:val="both"/>
        <w:rPr>
          <w:sz w:val="22"/>
          <w:szCs w:val="22"/>
          <w:lang w:val="en-GB"/>
        </w:rPr>
      </w:pPr>
    </w:p>
    <w:p w14:paraId="3BA279DB" w14:textId="3578A67C" w:rsidR="00EF6FB3" w:rsidRDefault="00EF6FB3" w:rsidP="00B61507">
      <w:pPr>
        <w:spacing w:after="0" w:line="240" w:lineRule="auto"/>
        <w:jc w:val="both"/>
        <w:rPr>
          <w:sz w:val="22"/>
          <w:szCs w:val="22"/>
          <w:lang w:val="en-GB"/>
        </w:rPr>
      </w:pPr>
      <w:r w:rsidRPr="00EF6FB3">
        <w:rPr>
          <w:noProof/>
        </w:rPr>
        <w:lastRenderedPageBreak/>
        <w:drawing>
          <wp:inline distT="0" distB="0" distL="0" distR="0" wp14:anchorId="0E1152B8" wp14:editId="3A59F418">
            <wp:extent cx="5120386" cy="3760967"/>
            <wp:effectExtent l="0" t="0" r="4445" b="0"/>
            <wp:docPr id="2882889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8214" cy="3774062"/>
                    </a:xfrm>
                    <a:prstGeom prst="rect">
                      <a:avLst/>
                    </a:prstGeom>
                    <a:noFill/>
                    <a:ln>
                      <a:noFill/>
                    </a:ln>
                  </pic:spPr>
                </pic:pic>
              </a:graphicData>
            </a:graphic>
          </wp:inline>
        </w:drawing>
      </w:r>
    </w:p>
    <w:p w14:paraId="725DF1B1" w14:textId="77777777" w:rsidR="00EF6FB3" w:rsidRDefault="00EF6FB3" w:rsidP="00B61507">
      <w:pPr>
        <w:spacing w:after="0" w:line="240" w:lineRule="auto"/>
        <w:jc w:val="both"/>
        <w:rPr>
          <w:sz w:val="22"/>
          <w:szCs w:val="22"/>
          <w:lang w:val="en-GB"/>
        </w:rPr>
      </w:pPr>
    </w:p>
    <w:sectPr w:rsidR="00EF6FB3" w:rsidSect="009737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9C4D" w14:textId="77777777" w:rsidR="00495E9D" w:rsidRDefault="00495E9D" w:rsidP="006E1137">
      <w:pPr>
        <w:spacing w:after="0" w:line="240" w:lineRule="auto"/>
      </w:pPr>
      <w:r>
        <w:separator/>
      </w:r>
    </w:p>
  </w:endnote>
  <w:endnote w:type="continuationSeparator" w:id="0">
    <w:p w14:paraId="4DEF4AD2" w14:textId="77777777" w:rsidR="00495E9D" w:rsidRDefault="00495E9D" w:rsidP="006E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D7FA" w14:textId="77777777" w:rsidR="00495E9D" w:rsidRDefault="00495E9D" w:rsidP="006E1137">
      <w:pPr>
        <w:spacing w:after="0" w:line="240" w:lineRule="auto"/>
      </w:pPr>
      <w:r>
        <w:separator/>
      </w:r>
    </w:p>
  </w:footnote>
  <w:footnote w:type="continuationSeparator" w:id="0">
    <w:p w14:paraId="62D01AE2" w14:textId="77777777" w:rsidR="00495E9D" w:rsidRDefault="00495E9D" w:rsidP="006E1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510"/>
    <w:multiLevelType w:val="hybridMultilevel"/>
    <w:tmpl w:val="525CEC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6B3462"/>
    <w:multiLevelType w:val="hybridMultilevel"/>
    <w:tmpl w:val="90601A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72DF3"/>
    <w:multiLevelType w:val="hybridMultilevel"/>
    <w:tmpl w:val="8214D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6E2A62"/>
    <w:multiLevelType w:val="hybridMultilevel"/>
    <w:tmpl w:val="79565B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A37D4B"/>
    <w:multiLevelType w:val="hybridMultilevel"/>
    <w:tmpl w:val="D9AE71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CEF0700"/>
    <w:multiLevelType w:val="hybridMultilevel"/>
    <w:tmpl w:val="1C0EA3C4"/>
    <w:lvl w:ilvl="0" w:tplc="1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84446A6"/>
    <w:multiLevelType w:val="multilevel"/>
    <w:tmpl w:val="037AC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27ACA"/>
    <w:multiLevelType w:val="multilevel"/>
    <w:tmpl w:val="B7942D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BA6B1C"/>
    <w:multiLevelType w:val="hybridMultilevel"/>
    <w:tmpl w:val="C138F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2A17E3"/>
    <w:multiLevelType w:val="hybridMultilevel"/>
    <w:tmpl w:val="38E03CD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5296164D"/>
    <w:multiLevelType w:val="hybridMultilevel"/>
    <w:tmpl w:val="729E8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AB33CBA"/>
    <w:multiLevelType w:val="hybridMultilevel"/>
    <w:tmpl w:val="F6B40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64534F"/>
    <w:multiLevelType w:val="hybridMultilevel"/>
    <w:tmpl w:val="AF9A17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EA03C99"/>
    <w:multiLevelType w:val="hybridMultilevel"/>
    <w:tmpl w:val="DA8CE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0971B2B"/>
    <w:multiLevelType w:val="hybridMultilevel"/>
    <w:tmpl w:val="AB28A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DC43C3"/>
    <w:multiLevelType w:val="hybridMultilevel"/>
    <w:tmpl w:val="BBF4FE56"/>
    <w:lvl w:ilvl="0" w:tplc="7794CCF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7DE20C95"/>
    <w:multiLevelType w:val="hybridMultilevel"/>
    <w:tmpl w:val="79E25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1060223">
    <w:abstractNumId w:val="15"/>
  </w:num>
  <w:num w:numId="2" w16cid:durableId="1453750690">
    <w:abstractNumId w:val="16"/>
  </w:num>
  <w:num w:numId="3" w16cid:durableId="1934433471">
    <w:abstractNumId w:val="2"/>
  </w:num>
  <w:num w:numId="4" w16cid:durableId="1118060122">
    <w:abstractNumId w:val="7"/>
  </w:num>
  <w:num w:numId="5" w16cid:durableId="1747998894">
    <w:abstractNumId w:val="6"/>
  </w:num>
  <w:num w:numId="6" w16cid:durableId="103039067">
    <w:abstractNumId w:val="1"/>
  </w:num>
  <w:num w:numId="7" w16cid:durableId="147286971">
    <w:abstractNumId w:val="9"/>
  </w:num>
  <w:num w:numId="8" w16cid:durableId="985357384">
    <w:abstractNumId w:val="5"/>
  </w:num>
  <w:num w:numId="9" w16cid:durableId="2054650083">
    <w:abstractNumId w:val="12"/>
  </w:num>
  <w:num w:numId="10" w16cid:durableId="982848272">
    <w:abstractNumId w:val="0"/>
  </w:num>
  <w:num w:numId="11" w16cid:durableId="894007411">
    <w:abstractNumId w:val="4"/>
  </w:num>
  <w:num w:numId="12" w16cid:durableId="274944941">
    <w:abstractNumId w:val="10"/>
  </w:num>
  <w:num w:numId="13" w16cid:durableId="1986153755">
    <w:abstractNumId w:val="8"/>
  </w:num>
  <w:num w:numId="14" w16cid:durableId="1583833383">
    <w:abstractNumId w:val="11"/>
  </w:num>
  <w:num w:numId="15" w16cid:durableId="464540811">
    <w:abstractNumId w:val="3"/>
  </w:num>
  <w:num w:numId="16" w16cid:durableId="806975431">
    <w:abstractNumId w:val="14"/>
  </w:num>
  <w:num w:numId="17" w16cid:durableId="5859605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9C"/>
    <w:rsid w:val="00004820"/>
    <w:rsid w:val="00004D79"/>
    <w:rsid w:val="00005FB7"/>
    <w:rsid w:val="00014C70"/>
    <w:rsid w:val="000178B6"/>
    <w:rsid w:val="00026DCC"/>
    <w:rsid w:val="000322BD"/>
    <w:rsid w:val="00032E59"/>
    <w:rsid w:val="0003357F"/>
    <w:rsid w:val="00035C75"/>
    <w:rsid w:val="00035E7A"/>
    <w:rsid w:val="00037029"/>
    <w:rsid w:val="0004284B"/>
    <w:rsid w:val="00046E46"/>
    <w:rsid w:val="000476FB"/>
    <w:rsid w:val="000513DC"/>
    <w:rsid w:val="000567A8"/>
    <w:rsid w:val="00057687"/>
    <w:rsid w:val="00057EAE"/>
    <w:rsid w:val="00060CA1"/>
    <w:rsid w:val="00060EE1"/>
    <w:rsid w:val="00071985"/>
    <w:rsid w:val="00071E3F"/>
    <w:rsid w:val="00071EC0"/>
    <w:rsid w:val="0007345D"/>
    <w:rsid w:val="000735A0"/>
    <w:rsid w:val="00074C30"/>
    <w:rsid w:val="00076328"/>
    <w:rsid w:val="00080015"/>
    <w:rsid w:val="00081FE9"/>
    <w:rsid w:val="00083391"/>
    <w:rsid w:val="000848AF"/>
    <w:rsid w:val="00084C07"/>
    <w:rsid w:val="00084EB6"/>
    <w:rsid w:val="00090EF1"/>
    <w:rsid w:val="00094F57"/>
    <w:rsid w:val="000977ED"/>
    <w:rsid w:val="000A1A8F"/>
    <w:rsid w:val="000A4F45"/>
    <w:rsid w:val="000A71C8"/>
    <w:rsid w:val="000B2333"/>
    <w:rsid w:val="000B2857"/>
    <w:rsid w:val="000B3605"/>
    <w:rsid w:val="000B489A"/>
    <w:rsid w:val="000C25C0"/>
    <w:rsid w:val="000C58A8"/>
    <w:rsid w:val="000D020C"/>
    <w:rsid w:val="000D0630"/>
    <w:rsid w:val="000D0A11"/>
    <w:rsid w:val="000D337F"/>
    <w:rsid w:val="000D6AA8"/>
    <w:rsid w:val="000E274F"/>
    <w:rsid w:val="000E2B54"/>
    <w:rsid w:val="000E40FE"/>
    <w:rsid w:val="000F3B2F"/>
    <w:rsid w:val="000F3F1F"/>
    <w:rsid w:val="000FACE0"/>
    <w:rsid w:val="0010161B"/>
    <w:rsid w:val="0010761E"/>
    <w:rsid w:val="001107F6"/>
    <w:rsid w:val="00116C69"/>
    <w:rsid w:val="00122250"/>
    <w:rsid w:val="00122D39"/>
    <w:rsid w:val="001236B1"/>
    <w:rsid w:val="00131377"/>
    <w:rsid w:val="00131422"/>
    <w:rsid w:val="001347F1"/>
    <w:rsid w:val="00141247"/>
    <w:rsid w:val="001431DE"/>
    <w:rsid w:val="00146A2E"/>
    <w:rsid w:val="00155260"/>
    <w:rsid w:val="001568E1"/>
    <w:rsid w:val="00156D32"/>
    <w:rsid w:val="00160C4D"/>
    <w:rsid w:val="00162F91"/>
    <w:rsid w:val="001673F3"/>
    <w:rsid w:val="001679C3"/>
    <w:rsid w:val="00170BC6"/>
    <w:rsid w:val="00175AEF"/>
    <w:rsid w:val="00176A43"/>
    <w:rsid w:val="00181CCE"/>
    <w:rsid w:val="00182A35"/>
    <w:rsid w:val="00182DC4"/>
    <w:rsid w:val="00184AA4"/>
    <w:rsid w:val="00197DB6"/>
    <w:rsid w:val="001B1C2A"/>
    <w:rsid w:val="001B238E"/>
    <w:rsid w:val="001B353F"/>
    <w:rsid w:val="001B67A8"/>
    <w:rsid w:val="001C5A1A"/>
    <w:rsid w:val="001D101C"/>
    <w:rsid w:val="001D36CA"/>
    <w:rsid w:val="001D3C48"/>
    <w:rsid w:val="001D557A"/>
    <w:rsid w:val="001D7948"/>
    <w:rsid w:val="001F0822"/>
    <w:rsid w:val="001F3A67"/>
    <w:rsid w:val="001F426C"/>
    <w:rsid w:val="00201176"/>
    <w:rsid w:val="002019E3"/>
    <w:rsid w:val="002020D3"/>
    <w:rsid w:val="00206321"/>
    <w:rsid w:val="002132DD"/>
    <w:rsid w:val="002235E9"/>
    <w:rsid w:val="00224D38"/>
    <w:rsid w:val="00225C3B"/>
    <w:rsid w:val="00230ACB"/>
    <w:rsid w:val="00232448"/>
    <w:rsid w:val="00233CBD"/>
    <w:rsid w:val="00233FB6"/>
    <w:rsid w:val="002351A9"/>
    <w:rsid w:val="0023729E"/>
    <w:rsid w:val="00243368"/>
    <w:rsid w:val="00244D58"/>
    <w:rsid w:val="00253E93"/>
    <w:rsid w:val="00256CD5"/>
    <w:rsid w:val="002600E5"/>
    <w:rsid w:val="00264EDE"/>
    <w:rsid w:val="00267014"/>
    <w:rsid w:val="00271111"/>
    <w:rsid w:val="00272F14"/>
    <w:rsid w:val="0027468E"/>
    <w:rsid w:val="00275490"/>
    <w:rsid w:val="00284BA0"/>
    <w:rsid w:val="00285307"/>
    <w:rsid w:val="002957B9"/>
    <w:rsid w:val="0029625D"/>
    <w:rsid w:val="00296F47"/>
    <w:rsid w:val="002A1D72"/>
    <w:rsid w:val="002A492B"/>
    <w:rsid w:val="002A5BD8"/>
    <w:rsid w:val="002A7873"/>
    <w:rsid w:val="002A7B87"/>
    <w:rsid w:val="002A7CD0"/>
    <w:rsid w:val="002B138F"/>
    <w:rsid w:val="002B146C"/>
    <w:rsid w:val="002B428B"/>
    <w:rsid w:val="002C1EDE"/>
    <w:rsid w:val="002D38FB"/>
    <w:rsid w:val="002E3387"/>
    <w:rsid w:val="002F5487"/>
    <w:rsid w:val="002F6FCE"/>
    <w:rsid w:val="002F7AAB"/>
    <w:rsid w:val="00303CDD"/>
    <w:rsid w:val="00304666"/>
    <w:rsid w:val="0030712B"/>
    <w:rsid w:val="0031507A"/>
    <w:rsid w:val="00315AA7"/>
    <w:rsid w:val="00320443"/>
    <w:rsid w:val="00324ECE"/>
    <w:rsid w:val="0033467B"/>
    <w:rsid w:val="0033579F"/>
    <w:rsid w:val="00346996"/>
    <w:rsid w:val="00350CDC"/>
    <w:rsid w:val="00351DC8"/>
    <w:rsid w:val="0035572E"/>
    <w:rsid w:val="003569A9"/>
    <w:rsid w:val="00357888"/>
    <w:rsid w:val="0036037F"/>
    <w:rsid w:val="00361411"/>
    <w:rsid w:val="00365AF0"/>
    <w:rsid w:val="00365AF1"/>
    <w:rsid w:val="003709B9"/>
    <w:rsid w:val="003713ED"/>
    <w:rsid w:val="00371B7D"/>
    <w:rsid w:val="00372793"/>
    <w:rsid w:val="003767DA"/>
    <w:rsid w:val="00376B4D"/>
    <w:rsid w:val="00384D04"/>
    <w:rsid w:val="00387657"/>
    <w:rsid w:val="003918A6"/>
    <w:rsid w:val="0039242F"/>
    <w:rsid w:val="00392744"/>
    <w:rsid w:val="00392DFD"/>
    <w:rsid w:val="00397175"/>
    <w:rsid w:val="003B071C"/>
    <w:rsid w:val="003B23D5"/>
    <w:rsid w:val="003B6111"/>
    <w:rsid w:val="003C021B"/>
    <w:rsid w:val="003C24DD"/>
    <w:rsid w:val="003C3631"/>
    <w:rsid w:val="003C45D3"/>
    <w:rsid w:val="003C579D"/>
    <w:rsid w:val="003D504E"/>
    <w:rsid w:val="003D60CC"/>
    <w:rsid w:val="003D670A"/>
    <w:rsid w:val="003E2DAE"/>
    <w:rsid w:val="003E50BF"/>
    <w:rsid w:val="003E58B2"/>
    <w:rsid w:val="003F744F"/>
    <w:rsid w:val="00403BB5"/>
    <w:rsid w:val="004049A3"/>
    <w:rsid w:val="00404DCF"/>
    <w:rsid w:val="0041078C"/>
    <w:rsid w:val="00413A9B"/>
    <w:rsid w:val="00414764"/>
    <w:rsid w:val="004247CA"/>
    <w:rsid w:val="004301F0"/>
    <w:rsid w:val="00430CF6"/>
    <w:rsid w:val="004337E6"/>
    <w:rsid w:val="0043463C"/>
    <w:rsid w:val="00436C11"/>
    <w:rsid w:val="004400BC"/>
    <w:rsid w:val="00443BD1"/>
    <w:rsid w:val="00443DBE"/>
    <w:rsid w:val="00445F3C"/>
    <w:rsid w:val="00447F05"/>
    <w:rsid w:val="004544E7"/>
    <w:rsid w:val="00456C2E"/>
    <w:rsid w:val="00457599"/>
    <w:rsid w:val="0046069D"/>
    <w:rsid w:val="00461447"/>
    <w:rsid w:val="00465B59"/>
    <w:rsid w:val="00470F66"/>
    <w:rsid w:val="00480170"/>
    <w:rsid w:val="00482672"/>
    <w:rsid w:val="00493D07"/>
    <w:rsid w:val="00495E9D"/>
    <w:rsid w:val="004A0931"/>
    <w:rsid w:val="004A4531"/>
    <w:rsid w:val="004A6DCA"/>
    <w:rsid w:val="004B7550"/>
    <w:rsid w:val="004B7E5F"/>
    <w:rsid w:val="004C03E7"/>
    <w:rsid w:val="004C1331"/>
    <w:rsid w:val="004C1585"/>
    <w:rsid w:val="004C2310"/>
    <w:rsid w:val="004D2B45"/>
    <w:rsid w:val="004D30C5"/>
    <w:rsid w:val="004D7CF5"/>
    <w:rsid w:val="004E181B"/>
    <w:rsid w:val="004E6DDD"/>
    <w:rsid w:val="004F1B8A"/>
    <w:rsid w:val="004F245F"/>
    <w:rsid w:val="004F57CA"/>
    <w:rsid w:val="004F5EFE"/>
    <w:rsid w:val="00500C23"/>
    <w:rsid w:val="00505968"/>
    <w:rsid w:val="0050695C"/>
    <w:rsid w:val="00507897"/>
    <w:rsid w:val="0051460D"/>
    <w:rsid w:val="00514DE7"/>
    <w:rsid w:val="005156BF"/>
    <w:rsid w:val="005177D1"/>
    <w:rsid w:val="005178F8"/>
    <w:rsid w:val="00521546"/>
    <w:rsid w:val="00522170"/>
    <w:rsid w:val="00523141"/>
    <w:rsid w:val="00523C74"/>
    <w:rsid w:val="005266C1"/>
    <w:rsid w:val="00527A7A"/>
    <w:rsid w:val="00527CC2"/>
    <w:rsid w:val="00527EFD"/>
    <w:rsid w:val="00527F73"/>
    <w:rsid w:val="00537CFF"/>
    <w:rsid w:val="00541652"/>
    <w:rsid w:val="00543CD3"/>
    <w:rsid w:val="00544895"/>
    <w:rsid w:val="0055207E"/>
    <w:rsid w:val="00555724"/>
    <w:rsid w:val="00556072"/>
    <w:rsid w:val="00556C6D"/>
    <w:rsid w:val="0057085C"/>
    <w:rsid w:val="00572A7C"/>
    <w:rsid w:val="00573F31"/>
    <w:rsid w:val="00583132"/>
    <w:rsid w:val="00584AA1"/>
    <w:rsid w:val="00584D60"/>
    <w:rsid w:val="00586E08"/>
    <w:rsid w:val="005906CE"/>
    <w:rsid w:val="00594255"/>
    <w:rsid w:val="00595715"/>
    <w:rsid w:val="005A58E5"/>
    <w:rsid w:val="005A6663"/>
    <w:rsid w:val="005A7F5E"/>
    <w:rsid w:val="005B62F9"/>
    <w:rsid w:val="005C0F12"/>
    <w:rsid w:val="005C2865"/>
    <w:rsid w:val="005C2E58"/>
    <w:rsid w:val="005C3A92"/>
    <w:rsid w:val="005C4C27"/>
    <w:rsid w:val="005C646E"/>
    <w:rsid w:val="005C719E"/>
    <w:rsid w:val="005D2A06"/>
    <w:rsid w:val="005D4F4C"/>
    <w:rsid w:val="005E2AA8"/>
    <w:rsid w:val="005E3798"/>
    <w:rsid w:val="005E402F"/>
    <w:rsid w:val="005E7F77"/>
    <w:rsid w:val="005F157D"/>
    <w:rsid w:val="005F2BF2"/>
    <w:rsid w:val="005F455C"/>
    <w:rsid w:val="005F6C81"/>
    <w:rsid w:val="005F7EB2"/>
    <w:rsid w:val="006048BE"/>
    <w:rsid w:val="006059B6"/>
    <w:rsid w:val="006113F9"/>
    <w:rsid w:val="00624D1E"/>
    <w:rsid w:val="00631410"/>
    <w:rsid w:val="00631F3C"/>
    <w:rsid w:val="00632A69"/>
    <w:rsid w:val="00635679"/>
    <w:rsid w:val="006360E3"/>
    <w:rsid w:val="0064657A"/>
    <w:rsid w:val="0065061C"/>
    <w:rsid w:val="00650CCE"/>
    <w:rsid w:val="00650E03"/>
    <w:rsid w:val="00657DBB"/>
    <w:rsid w:val="0066120B"/>
    <w:rsid w:val="00663BE9"/>
    <w:rsid w:val="00664544"/>
    <w:rsid w:val="00672CC5"/>
    <w:rsid w:val="00676D5E"/>
    <w:rsid w:val="006779FF"/>
    <w:rsid w:val="00680E18"/>
    <w:rsid w:val="0068122E"/>
    <w:rsid w:val="00684690"/>
    <w:rsid w:val="00686110"/>
    <w:rsid w:val="0068799E"/>
    <w:rsid w:val="006905CA"/>
    <w:rsid w:val="00691869"/>
    <w:rsid w:val="006918D7"/>
    <w:rsid w:val="0069474A"/>
    <w:rsid w:val="006949FB"/>
    <w:rsid w:val="00696E3F"/>
    <w:rsid w:val="00697654"/>
    <w:rsid w:val="006A6664"/>
    <w:rsid w:val="006A69B8"/>
    <w:rsid w:val="006A7229"/>
    <w:rsid w:val="006B0254"/>
    <w:rsid w:val="006B1456"/>
    <w:rsid w:val="006B2C5C"/>
    <w:rsid w:val="006B43E1"/>
    <w:rsid w:val="006B4402"/>
    <w:rsid w:val="006B4D04"/>
    <w:rsid w:val="006B5171"/>
    <w:rsid w:val="006C09CD"/>
    <w:rsid w:val="006C1239"/>
    <w:rsid w:val="006D60CB"/>
    <w:rsid w:val="006E1137"/>
    <w:rsid w:val="006E1CDF"/>
    <w:rsid w:val="006E2117"/>
    <w:rsid w:val="006E6124"/>
    <w:rsid w:val="006E7738"/>
    <w:rsid w:val="006F20D2"/>
    <w:rsid w:val="006F485A"/>
    <w:rsid w:val="006F6367"/>
    <w:rsid w:val="006F7397"/>
    <w:rsid w:val="006FA322"/>
    <w:rsid w:val="00707C7D"/>
    <w:rsid w:val="00710A3A"/>
    <w:rsid w:val="007154AB"/>
    <w:rsid w:val="00716780"/>
    <w:rsid w:val="00717947"/>
    <w:rsid w:val="0072113A"/>
    <w:rsid w:val="00723CC5"/>
    <w:rsid w:val="0072448B"/>
    <w:rsid w:val="00725550"/>
    <w:rsid w:val="007261DD"/>
    <w:rsid w:val="0072693F"/>
    <w:rsid w:val="00735427"/>
    <w:rsid w:val="00735BC2"/>
    <w:rsid w:val="00745061"/>
    <w:rsid w:val="007451D3"/>
    <w:rsid w:val="00752A73"/>
    <w:rsid w:val="0075451D"/>
    <w:rsid w:val="00761890"/>
    <w:rsid w:val="00762111"/>
    <w:rsid w:val="00764A63"/>
    <w:rsid w:val="00770FB6"/>
    <w:rsid w:val="007731C8"/>
    <w:rsid w:val="00773BB9"/>
    <w:rsid w:val="007747B2"/>
    <w:rsid w:val="00782878"/>
    <w:rsid w:val="0078354D"/>
    <w:rsid w:val="0078763B"/>
    <w:rsid w:val="00787A97"/>
    <w:rsid w:val="007913A0"/>
    <w:rsid w:val="007931FA"/>
    <w:rsid w:val="00797DCC"/>
    <w:rsid w:val="007A069D"/>
    <w:rsid w:val="007A4D3B"/>
    <w:rsid w:val="007A570B"/>
    <w:rsid w:val="007A6B5F"/>
    <w:rsid w:val="007B54AC"/>
    <w:rsid w:val="007C0574"/>
    <w:rsid w:val="007C6754"/>
    <w:rsid w:val="007D1A22"/>
    <w:rsid w:val="007D6423"/>
    <w:rsid w:val="007E1F00"/>
    <w:rsid w:val="007E26A2"/>
    <w:rsid w:val="007E2E50"/>
    <w:rsid w:val="007E4ECD"/>
    <w:rsid w:val="007F0FD1"/>
    <w:rsid w:val="007F1E8D"/>
    <w:rsid w:val="007F3950"/>
    <w:rsid w:val="007F52EB"/>
    <w:rsid w:val="007F5A3B"/>
    <w:rsid w:val="007F6E4A"/>
    <w:rsid w:val="007F7C97"/>
    <w:rsid w:val="008019D8"/>
    <w:rsid w:val="00803EBA"/>
    <w:rsid w:val="00805C81"/>
    <w:rsid w:val="00810377"/>
    <w:rsid w:val="00811831"/>
    <w:rsid w:val="00814854"/>
    <w:rsid w:val="00816E56"/>
    <w:rsid w:val="00820D26"/>
    <w:rsid w:val="008264F6"/>
    <w:rsid w:val="00827C6E"/>
    <w:rsid w:val="008302BE"/>
    <w:rsid w:val="00831113"/>
    <w:rsid w:val="00831336"/>
    <w:rsid w:val="00832DEB"/>
    <w:rsid w:val="008336AB"/>
    <w:rsid w:val="00834CA2"/>
    <w:rsid w:val="00835437"/>
    <w:rsid w:val="008356FC"/>
    <w:rsid w:val="0083755D"/>
    <w:rsid w:val="008438FD"/>
    <w:rsid w:val="008445FB"/>
    <w:rsid w:val="00845174"/>
    <w:rsid w:val="00852389"/>
    <w:rsid w:val="008534FF"/>
    <w:rsid w:val="008654B7"/>
    <w:rsid w:val="008675CA"/>
    <w:rsid w:val="008709AF"/>
    <w:rsid w:val="008747F7"/>
    <w:rsid w:val="00877673"/>
    <w:rsid w:val="00886A39"/>
    <w:rsid w:val="00887033"/>
    <w:rsid w:val="008929DA"/>
    <w:rsid w:val="0089578F"/>
    <w:rsid w:val="00895EE9"/>
    <w:rsid w:val="008961F1"/>
    <w:rsid w:val="008A4C02"/>
    <w:rsid w:val="008A71DF"/>
    <w:rsid w:val="008B7546"/>
    <w:rsid w:val="008C214D"/>
    <w:rsid w:val="008C2D70"/>
    <w:rsid w:val="008C6462"/>
    <w:rsid w:val="008E2DFD"/>
    <w:rsid w:val="008E480D"/>
    <w:rsid w:val="008F704F"/>
    <w:rsid w:val="008F7E32"/>
    <w:rsid w:val="00902902"/>
    <w:rsid w:val="00910969"/>
    <w:rsid w:val="009125DE"/>
    <w:rsid w:val="00913002"/>
    <w:rsid w:val="009217D3"/>
    <w:rsid w:val="00927EF7"/>
    <w:rsid w:val="009353E3"/>
    <w:rsid w:val="009371F6"/>
    <w:rsid w:val="0093769C"/>
    <w:rsid w:val="00937D95"/>
    <w:rsid w:val="00942B90"/>
    <w:rsid w:val="009453BE"/>
    <w:rsid w:val="00945B1E"/>
    <w:rsid w:val="0094707D"/>
    <w:rsid w:val="009472D9"/>
    <w:rsid w:val="009509E3"/>
    <w:rsid w:val="00950A65"/>
    <w:rsid w:val="0095420B"/>
    <w:rsid w:val="00954D50"/>
    <w:rsid w:val="00954F6F"/>
    <w:rsid w:val="00956443"/>
    <w:rsid w:val="00962C66"/>
    <w:rsid w:val="00963C30"/>
    <w:rsid w:val="00964308"/>
    <w:rsid w:val="00964BEF"/>
    <w:rsid w:val="00965FDE"/>
    <w:rsid w:val="00971D73"/>
    <w:rsid w:val="00972E2F"/>
    <w:rsid w:val="009731B8"/>
    <w:rsid w:val="00973796"/>
    <w:rsid w:val="00975109"/>
    <w:rsid w:val="009751C1"/>
    <w:rsid w:val="0097771B"/>
    <w:rsid w:val="009803CD"/>
    <w:rsid w:val="00982805"/>
    <w:rsid w:val="00985E74"/>
    <w:rsid w:val="0099376F"/>
    <w:rsid w:val="009968AB"/>
    <w:rsid w:val="009969B9"/>
    <w:rsid w:val="00997BA4"/>
    <w:rsid w:val="009A2783"/>
    <w:rsid w:val="009A2C7A"/>
    <w:rsid w:val="009A3BFB"/>
    <w:rsid w:val="009A595C"/>
    <w:rsid w:val="009A5AF8"/>
    <w:rsid w:val="009B0F21"/>
    <w:rsid w:val="009C4AC4"/>
    <w:rsid w:val="009C7425"/>
    <w:rsid w:val="009D1333"/>
    <w:rsid w:val="009D1400"/>
    <w:rsid w:val="009D3BAD"/>
    <w:rsid w:val="009D5EF9"/>
    <w:rsid w:val="009D784B"/>
    <w:rsid w:val="009D798F"/>
    <w:rsid w:val="009E04A8"/>
    <w:rsid w:val="009E38DC"/>
    <w:rsid w:val="009E68DA"/>
    <w:rsid w:val="009E7888"/>
    <w:rsid w:val="009E7CA6"/>
    <w:rsid w:val="009F212B"/>
    <w:rsid w:val="009F4820"/>
    <w:rsid w:val="009F5201"/>
    <w:rsid w:val="009F551C"/>
    <w:rsid w:val="009F57F1"/>
    <w:rsid w:val="009F624F"/>
    <w:rsid w:val="00A02CF4"/>
    <w:rsid w:val="00A05467"/>
    <w:rsid w:val="00A06D35"/>
    <w:rsid w:val="00A13378"/>
    <w:rsid w:val="00A14D4F"/>
    <w:rsid w:val="00A155F4"/>
    <w:rsid w:val="00A1563E"/>
    <w:rsid w:val="00A164D3"/>
    <w:rsid w:val="00A2412C"/>
    <w:rsid w:val="00A300C5"/>
    <w:rsid w:val="00A3180C"/>
    <w:rsid w:val="00A37B27"/>
    <w:rsid w:val="00A37D91"/>
    <w:rsid w:val="00A37E0D"/>
    <w:rsid w:val="00A41A8B"/>
    <w:rsid w:val="00A4589A"/>
    <w:rsid w:val="00A50F8F"/>
    <w:rsid w:val="00A55905"/>
    <w:rsid w:val="00A60340"/>
    <w:rsid w:val="00A60EA8"/>
    <w:rsid w:val="00A63103"/>
    <w:rsid w:val="00A660EE"/>
    <w:rsid w:val="00A66773"/>
    <w:rsid w:val="00A679B7"/>
    <w:rsid w:val="00A67C51"/>
    <w:rsid w:val="00A73938"/>
    <w:rsid w:val="00A83D39"/>
    <w:rsid w:val="00A87F37"/>
    <w:rsid w:val="00A95116"/>
    <w:rsid w:val="00AA27CE"/>
    <w:rsid w:val="00AA316F"/>
    <w:rsid w:val="00AA7032"/>
    <w:rsid w:val="00AA72EC"/>
    <w:rsid w:val="00AA7611"/>
    <w:rsid w:val="00AB48FD"/>
    <w:rsid w:val="00AB5ECD"/>
    <w:rsid w:val="00AD1935"/>
    <w:rsid w:val="00AD2649"/>
    <w:rsid w:val="00AD503F"/>
    <w:rsid w:val="00AD524E"/>
    <w:rsid w:val="00AD69EA"/>
    <w:rsid w:val="00AE15F7"/>
    <w:rsid w:val="00AE3D3D"/>
    <w:rsid w:val="00AE4197"/>
    <w:rsid w:val="00AE4FE9"/>
    <w:rsid w:val="00AE5067"/>
    <w:rsid w:val="00AF18ED"/>
    <w:rsid w:val="00AF4208"/>
    <w:rsid w:val="00AF71FE"/>
    <w:rsid w:val="00B10519"/>
    <w:rsid w:val="00B15154"/>
    <w:rsid w:val="00B169F2"/>
    <w:rsid w:val="00B2010F"/>
    <w:rsid w:val="00B22328"/>
    <w:rsid w:val="00B2545A"/>
    <w:rsid w:val="00B25746"/>
    <w:rsid w:val="00B4299E"/>
    <w:rsid w:val="00B441CF"/>
    <w:rsid w:val="00B45C3C"/>
    <w:rsid w:val="00B461ED"/>
    <w:rsid w:val="00B50DC3"/>
    <w:rsid w:val="00B5315C"/>
    <w:rsid w:val="00B55336"/>
    <w:rsid w:val="00B60EC8"/>
    <w:rsid w:val="00B61507"/>
    <w:rsid w:val="00B6773D"/>
    <w:rsid w:val="00B714AC"/>
    <w:rsid w:val="00B82ADB"/>
    <w:rsid w:val="00B83B2D"/>
    <w:rsid w:val="00B94270"/>
    <w:rsid w:val="00B95CF4"/>
    <w:rsid w:val="00BA2039"/>
    <w:rsid w:val="00BA4008"/>
    <w:rsid w:val="00BA439F"/>
    <w:rsid w:val="00BB5BD0"/>
    <w:rsid w:val="00BC77FA"/>
    <w:rsid w:val="00BD3241"/>
    <w:rsid w:val="00BD5F28"/>
    <w:rsid w:val="00BD6372"/>
    <w:rsid w:val="00BE101B"/>
    <w:rsid w:val="00BE18E4"/>
    <w:rsid w:val="00BE53E4"/>
    <w:rsid w:val="00BF1B89"/>
    <w:rsid w:val="00BF42C4"/>
    <w:rsid w:val="00BF75F2"/>
    <w:rsid w:val="00C03319"/>
    <w:rsid w:val="00C06EA3"/>
    <w:rsid w:val="00C10714"/>
    <w:rsid w:val="00C153B2"/>
    <w:rsid w:val="00C17634"/>
    <w:rsid w:val="00C17C29"/>
    <w:rsid w:val="00C20FC4"/>
    <w:rsid w:val="00C25F61"/>
    <w:rsid w:val="00C26B13"/>
    <w:rsid w:val="00C309D9"/>
    <w:rsid w:val="00C34108"/>
    <w:rsid w:val="00C34601"/>
    <w:rsid w:val="00C34F05"/>
    <w:rsid w:val="00C41489"/>
    <w:rsid w:val="00C456F8"/>
    <w:rsid w:val="00C52152"/>
    <w:rsid w:val="00C524BB"/>
    <w:rsid w:val="00C55757"/>
    <w:rsid w:val="00C5724E"/>
    <w:rsid w:val="00C6074F"/>
    <w:rsid w:val="00C64970"/>
    <w:rsid w:val="00C664D7"/>
    <w:rsid w:val="00C667EB"/>
    <w:rsid w:val="00C6746A"/>
    <w:rsid w:val="00C70965"/>
    <w:rsid w:val="00C70FAD"/>
    <w:rsid w:val="00C76FAF"/>
    <w:rsid w:val="00C836D1"/>
    <w:rsid w:val="00C85543"/>
    <w:rsid w:val="00C903B6"/>
    <w:rsid w:val="00C914F8"/>
    <w:rsid w:val="00C940ED"/>
    <w:rsid w:val="00C96FA3"/>
    <w:rsid w:val="00CA0B4B"/>
    <w:rsid w:val="00CA1030"/>
    <w:rsid w:val="00CA2DA1"/>
    <w:rsid w:val="00CA6168"/>
    <w:rsid w:val="00CB0968"/>
    <w:rsid w:val="00CB15BC"/>
    <w:rsid w:val="00CB2107"/>
    <w:rsid w:val="00CB4C4A"/>
    <w:rsid w:val="00CB4D01"/>
    <w:rsid w:val="00CC00F5"/>
    <w:rsid w:val="00CC1173"/>
    <w:rsid w:val="00CC3164"/>
    <w:rsid w:val="00CC49B1"/>
    <w:rsid w:val="00CD5072"/>
    <w:rsid w:val="00CD6698"/>
    <w:rsid w:val="00CE2D1F"/>
    <w:rsid w:val="00CE3839"/>
    <w:rsid w:val="00CE43AE"/>
    <w:rsid w:val="00CE6890"/>
    <w:rsid w:val="00CF1EE1"/>
    <w:rsid w:val="00CF6DB2"/>
    <w:rsid w:val="00D03506"/>
    <w:rsid w:val="00D07149"/>
    <w:rsid w:val="00D1722A"/>
    <w:rsid w:val="00D203CE"/>
    <w:rsid w:val="00D20FF1"/>
    <w:rsid w:val="00D2354A"/>
    <w:rsid w:val="00D24477"/>
    <w:rsid w:val="00D30978"/>
    <w:rsid w:val="00D33D2F"/>
    <w:rsid w:val="00D35118"/>
    <w:rsid w:val="00D43B3D"/>
    <w:rsid w:val="00D45CC3"/>
    <w:rsid w:val="00D52E10"/>
    <w:rsid w:val="00D544F2"/>
    <w:rsid w:val="00D5507E"/>
    <w:rsid w:val="00D6041C"/>
    <w:rsid w:val="00D63492"/>
    <w:rsid w:val="00D641C2"/>
    <w:rsid w:val="00D65873"/>
    <w:rsid w:val="00D65EB7"/>
    <w:rsid w:val="00D7044D"/>
    <w:rsid w:val="00D71138"/>
    <w:rsid w:val="00D729F9"/>
    <w:rsid w:val="00D7372E"/>
    <w:rsid w:val="00D7551F"/>
    <w:rsid w:val="00D75C7E"/>
    <w:rsid w:val="00D8672A"/>
    <w:rsid w:val="00D91DFD"/>
    <w:rsid w:val="00D978FB"/>
    <w:rsid w:val="00DA0946"/>
    <w:rsid w:val="00DA0F92"/>
    <w:rsid w:val="00DA16FF"/>
    <w:rsid w:val="00DA18B0"/>
    <w:rsid w:val="00DB566D"/>
    <w:rsid w:val="00DB72E3"/>
    <w:rsid w:val="00DC1EC9"/>
    <w:rsid w:val="00DC32CB"/>
    <w:rsid w:val="00DC40B1"/>
    <w:rsid w:val="00DC56C0"/>
    <w:rsid w:val="00DCE344"/>
    <w:rsid w:val="00DD59CD"/>
    <w:rsid w:val="00DE4BDB"/>
    <w:rsid w:val="00DE619E"/>
    <w:rsid w:val="00DE6B40"/>
    <w:rsid w:val="00DE726B"/>
    <w:rsid w:val="00DF057A"/>
    <w:rsid w:val="00DF280E"/>
    <w:rsid w:val="00DF3A74"/>
    <w:rsid w:val="00DF3CA4"/>
    <w:rsid w:val="00E0093E"/>
    <w:rsid w:val="00E10B36"/>
    <w:rsid w:val="00E10E25"/>
    <w:rsid w:val="00E136F2"/>
    <w:rsid w:val="00E138FA"/>
    <w:rsid w:val="00E210E9"/>
    <w:rsid w:val="00E21BF8"/>
    <w:rsid w:val="00E22C88"/>
    <w:rsid w:val="00E25898"/>
    <w:rsid w:val="00E452D4"/>
    <w:rsid w:val="00E45C5E"/>
    <w:rsid w:val="00E50344"/>
    <w:rsid w:val="00E5074A"/>
    <w:rsid w:val="00E534CE"/>
    <w:rsid w:val="00E61363"/>
    <w:rsid w:val="00E63FD0"/>
    <w:rsid w:val="00E7492D"/>
    <w:rsid w:val="00E77396"/>
    <w:rsid w:val="00E848FA"/>
    <w:rsid w:val="00E86D42"/>
    <w:rsid w:val="00E90CD5"/>
    <w:rsid w:val="00E91E70"/>
    <w:rsid w:val="00E93A31"/>
    <w:rsid w:val="00E94CCC"/>
    <w:rsid w:val="00EA0D79"/>
    <w:rsid w:val="00EB2B3C"/>
    <w:rsid w:val="00EB6765"/>
    <w:rsid w:val="00EC0621"/>
    <w:rsid w:val="00EC12C9"/>
    <w:rsid w:val="00ED4371"/>
    <w:rsid w:val="00ED60C3"/>
    <w:rsid w:val="00ED7F7A"/>
    <w:rsid w:val="00EE0FC9"/>
    <w:rsid w:val="00EE3CD9"/>
    <w:rsid w:val="00EE3FD2"/>
    <w:rsid w:val="00EF1D60"/>
    <w:rsid w:val="00EF4705"/>
    <w:rsid w:val="00EF6FB3"/>
    <w:rsid w:val="00EF78C0"/>
    <w:rsid w:val="00F05138"/>
    <w:rsid w:val="00F11058"/>
    <w:rsid w:val="00F13FE4"/>
    <w:rsid w:val="00F14D04"/>
    <w:rsid w:val="00F177AA"/>
    <w:rsid w:val="00F25CFF"/>
    <w:rsid w:val="00F260A4"/>
    <w:rsid w:val="00F26F23"/>
    <w:rsid w:val="00F30605"/>
    <w:rsid w:val="00F30E7F"/>
    <w:rsid w:val="00F34F11"/>
    <w:rsid w:val="00F406E3"/>
    <w:rsid w:val="00F41974"/>
    <w:rsid w:val="00F51EE2"/>
    <w:rsid w:val="00F63C3F"/>
    <w:rsid w:val="00F65255"/>
    <w:rsid w:val="00F67869"/>
    <w:rsid w:val="00F73D90"/>
    <w:rsid w:val="00F7791A"/>
    <w:rsid w:val="00F842AD"/>
    <w:rsid w:val="00F86717"/>
    <w:rsid w:val="00F90219"/>
    <w:rsid w:val="00F90C2A"/>
    <w:rsid w:val="00F930E2"/>
    <w:rsid w:val="00F93616"/>
    <w:rsid w:val="00F94EE4"/>
    <w:rsid w:val="00F954C9"/>
    <w:rsid w:val="00FA2C3F"/>
    <w:rsid w:val="00FA2CEE"/>
    <w:rsid w:val="00FA3091"/>
    <w:rsid w:val="00FB2321"/>
    <w:rsid w:val="00FB78FD"/>
    <w:rsid w:val="00FC6D5A"/>
    <w:rsid w:val="00FC6DF1"/>
    <w:rsid w:val="00FD0448"/>
    <w:rsid w:val="00FD72FB"/>
    <w:rsid w:val="00FE02C8"/>
    <w:rsid w:val="00FE1FD9"/>
    <w:rsid w:val="00FE2BDD"/>
    <w:rsid w:val="00FE4272"/>
    <w:rsid w:val="00FE628B"/>
    <w:rsid w:val="00FE7A2D"/>
    <w:rsid w:val="00FF2AEF"/>
    <w:rsid w:val="01959430"/>
    <w:rsid w:val="0656B544"/>
    <w:rsid w:val="06FD994D"/>
    <w:rsid w:val="0912455F"/>
    <w:rsid w:val="0A57FE1E"/>
    <w:rsid w:val="0C54E0A7"/>
    <w:rsid w:val="0C703D67"/>
    <w:rsid w:val="0D143A3F"/>
    <w:rsid w:val="0D932D76"/>
    <w:rsid w:val="0DB2C335"/>
    <w:rsid w:val="0DC6B904"/>
    <w:rsid w:val="1317804C"/>
    <w:rsid w:val="13A50D82"/>
    <w:rsid w:val="16877795"/>
    <w:rsid w:val="17553C6B"/>
    <w:rsid w:val="1C803EDA"/>
    <w:rsid w:val="1CB50A7E"/>
    <w:rsid w:val="1D8339D2"/>
    <w:rsid w:val="1EAFF514"/>
    <w:rsid w:val="1EE7649B"/>
    <w:rsid w:val="201E931F"/>
    <w:rsid w:val="2032ABA4"/>
    <w:rsid w:val="23284CD2"/>
    <w:rsid w:val="2340C70D"/>
    <w:rsid w:val="2614E812"/>
    <w:rsid w:val="261E0664"/>
    <w:rsid w:val="268E22E9"/>
    <w:rsid w:val="27C74A6E"/>
    <w:rsid w:val="28025822"/>
    <w:rsid w:val="2850424C"/>
    <w:rsid w:val="29AC0B93"/>
    <w:rsid w:val="2D4D4F05"/>
    <w:rsid w:val="2E6CB7DF"/>
    <w:rsid w:val="33A2C1C1"/>
    <w:rsid w:val="359F6F06"/>
    <w:rsid w:val="36022FC3"/>
    <w:rsid w:val="37F7400C"/>
    <w:rsid w:val="385BF0D7"/>
    <w:rsid w:val="3865BBEC"/>
    <w:rsid w:val="3974983E"/>
    <w:rsid w:val="3DBA934F"/>
    <w:rsid w:val="3E479539"/>
    <w:rsid w:val="3E53D46D"/>
    <w:rsid w:val="3E5A48B2"/>
    <w:rsid w:val="3EB13556"/>
    <w:rsid w:val="42229604"/>
    <w:rsid w:val="428D5D8A"/>
    <w:rsid w:val="42D6F0FA"/>
    <w:rsid w:val="439BD9B7"/>
    <w:rsid w:val="4460C151"/>
    <w:rsid w:val="47D2811F"/>
    <w:rsid w:val="487787FC"/>
    <w:rsid w:val="4994724E"/>
    <w:rsid w:val="4AA6AA08"/>
    <w:rsid w:val="4C688BD8"/>
    <w:rsid w:val="4CF8F512"/>
    <w:rsid w:val="4D0DB944"/>
    <w:rsid w:val="4D91A484"/>
    <w:rsid w:val="5102A031"/>
    <w:rsid w:val="5184BDDC"/>
    <w:rsid w:val="51A1299A"/>
    <w:rsid w:val="53454F71"/>
    <w:rsid w:val="5450FBEC"/>
    <w:rsid w:val="561659B8"/>
    <w:rsid w:val="5797C11D"/>
    <w:rsid w:val="58737CDB"/>
    <w:rsid w:val="5BBE8D0D"/>
    <w:rsid w:val="5C89179F"/>
    <w:rsid w:val="5CD3C7B5"/>
    <w:rsid w:val="5D6F150F"/>
    <w:rsid w:val="5E2A863D"/>
    <w:rsid w:val="5E423173"/>
    <w:rsid w:val="5E4D7EE7"/>
    <w:rsid w:val="636CA227"/>
    <w:rsid w:val="66B27C9E"/>
    <w:rsid w:val="66C226DC"/>
    <w:rsid w:val="674B907A"/>
    <w:rsid w:val="680ED6C8"/>
    <w:rsid w:val="6AB57DE0"/>
    <w:rsid w:val="6B52F6B3"/>
    <w:rsid w:val="6F700BB2"/>
    <w:rsid w:val="71BCF090"/>
    <w:rsid w:val="73967CB8"/>
    <w:rsid w:val="740FE742"/>
    <w:rsid w:val="747EF052"/>
    <w:rsid w:val="75D7B363"/>
    <w:rsid w:val="75F64D32"/>
    <w:rsid w:val="768BBB90"/>
    <w:rsid w:val="76E4E4FC"/>
    <w:rsid w:val="78ED5CE1"/>
    <w:rsid w:val="78FE2B69"/>
    <w:rsid w:val="793785DF"/>
    <w:rsid w:val="7A1D2F80"/>
    <w:rsid w:val="7B658612"/>
    <w:rsid w:val="7BA05C60"/>
    <w:rsid w:val="7CC0BCCB"/>
    <w:rsid w:val="7D652556"/>
    <w:rsid w:val="7D834E6C"/>
    <w:rsid w:val="7DEDBB6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CB896"/>
  <w15:chartTrackingRefBased/>
  <w15:docId w15:val="{F928FA97-B305-48B5-A915-72C5D2A1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D3"/>
  </w:style>
  <w:style w:type="paragraph" w:styleId="Heading1">
    <w:name w:val="heading 1"/>
    <w:basedOn w:val="Normal"/>
    <w:next w:val="Normal"/>
    <w:link w:val="Heading1Char"/>
    <w:uiPriority w:val="9"/>
    <w:qFormat/>
    <w:rsid w:val="009376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133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6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6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6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376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6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6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6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69C"/>
    <w:rPr>
      <w:rFonts w:eastAsiaTheme="majorEastAsia" w:cstheme="majorBidi"/>
      <w:color w:val="272727" w:themeColor="text1" w:themeTint="D8"/>
    </w:rPr>
  </w:style>
  <w:style w:type="paragraph" w:styleId="Title">
    <w:name w:val="Title"/>
    <w:basedOn w:val="Normal"/>
    <w:next w:val="Normal"/>
    <w:link w:val="TitleChar"/>
    <w:uiPriority w:val="10"/>
    <w:qFormat/>
    <w:rsid w:val="00937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69C"/>
    <w:pPr>
      <w:spacing w:before="160"/>
      <w:jc w:val="center"/>
    </w:pPr>
    <w:rPr>
      <w:i/>
      <w:iCs/>
      <w:color w:val="404040" w:themeColor="text1" w:themeTint="BF"/>
    </w:rPr>
  </w:style>
  <w:style w:type="character" w:customStyle="1" w:styleId="QuoteChar">
    <w:name w:val="Quote Char"/>
    <w:basedOn w:val="DefaultParagraphFont"/>
    <w:link w:val="Quote"/>
    <w:uiPriority w:val="29"/>
    <w:rsid w:val="0093769C"/>
    <w:rPr>
      <w:i/>
      <w:iCs/>
      <w:color w:val="404040" w:themeColor="text1" w:themeTint="BF"/>
    </w:rPr>
  </w:style>
  <w:style w:type="paragraph" w:styleId="ListParagraph">
    <w:name w:val="List Paragraph"/>
    <w:basedOn w:val="Normal"/>
    <w:uiPriority w:val="34"/>
    <w:qFormat/>
    <w:rsid w:val="0093769C"/>
    <w:pPr>
      <w:ind w:left="720"/>
      <w:contextualSpacing/>
    </w:pPr>
  </w:style>
  <w:style w:type="character" w:styleId="IntenseEmphasis">
    <w:name w:val="Intense Emphasis"/>
    <w:basedOn w:val="DefaultParagraphFont"/>
    <w:uiPriority w:val="21"/>
    <w:qFormat/>
    <w:rsid w:val="0093769C"/>
    <w:rPr>
      <w:i/>
      <w:iCs/>
      <w:color w:val="2F5496" w:themeColor="accent1" w:themeShade="BF"/>
    </w:rPr>
  </w:style>
  <w:style w:type="paragraph" w:styleId="IntenseQuote">
    <w:name w:val="Intense Quote"/>
    <w:basedOn w:val="Normal"/>
    <w:next w:val="Normal"/>
    <w:link w:val="IntenseQuoteChar"/>
    <w:uiPriority w:val="30"/>
    <w:qFormat/>
    <w:rsid w:val="00937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69C"/>
    <w:rPr>
      <w:i/>
      <w:iCs/>
      <w:color w:val="2F5496" w:themeColor="accent1" w:themeShade="BF"/>
    </w:rPr>
  </w:style>
  <w:style w:type="character" w:styleId="IntenseReference">
    <w:name w:val="Intense Reference"/>
    <w:basedOn w:val="DefaultParagraphFont"/>
    <w:uiPriority w:val="32"/>
    <w:qFormat/>
    <w:rsid w:val="0093769C"/>
    <w:rPr>
      <w:b/>
      <w:bCs/>
      <w:smallCaps/>
      <w:color w:val="2F5496" w:themeColor="accent1" w:themeShade="BF"/>
      <w:spacing w:val="5"/>
    </w:rPr>
  </w:style>
  <w:style w:type="character" w:styleId="Hyperlink">
    <w:name w:val="Hyperlink"/>
    <w:basedOn w:val="DefaultParagraphFont"/>
    <w:uiPriority w:val="99"/>
    <w:unhideWhenUsed/>
    <w:rsid w:val="0093769C"/>
    <w:rPr>
      <w:color w:val="0563C1" w:themeColor="hyperlink"/>
      <w:u w:val="single"/>
    </w:rPr>
  </w:style>
  <w:style w:type="character" w:styleId="UnresolvedMention">
    <w:name w:val="Unresolved Mention"/>
    <w:basedOn w:val="DefaultParagraphFont"/>
    <w:uiPriority w:val="99"/>
    <w:semiHidden/>
    <w:unhideWhenUsed/>
    <w:rsid w:val="0093769C"/>
    <w:rPr>
      <w:color w:val="605E5C"/>
      <w:shd w:val="clear" w:color="auto" w:fill="E1DFDD"/>
    </w:rPr>
  </w:style>
  <w:style w:type="paragraph" w:styleId="Header">
    <w:name w:val="header"/>
    <w:basedOn w:val="Normal"/>
    <w:link w:val="HeaderChar"/>
    <w:uiPriority w:val="99"/>
    <w:unhideWhenUsed/>
    <w:rsid w:val="006E1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137"/>
  </w:style>
  <w:style w:type="paragraph" w:styleId="Footer">
    <w:name w:val="footer"/>
    <w:basedOn w:val="Normal"/>
    <w:link w:val="FooterChar"/>
    <w:uiPriority w:val="99"/>
    <w:unhideWhenUsed/>
    <w:rsid w:val="006E1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137"/>
  </w:style>
  <w:style w:type="character" w:styleId="CommentReference">
    <w:name w:val="annotation reference"/>
    <w:basedOn w:val="DefaultParagraphFont"/>
    <w:uiPriority w:val="99"/>
    <w:semiHidden/>
    <w:unhideWhenUsed/>
    <w:rsid w:val="00773BB9"/>
    <w:rPr>
      <w:sz w:val="16"/>
      <w:szCs w:val="16"/>
    </w:rPr>
  </w:style>
  <w:style w:type="paragraph" w:styleId="CommentText">
    <w:name w:val="annotation text"/>
    <w:basedOn w:val="Normal"/>
    <w:link w:val="CommentTextChar"/>
    <w:uiPriority w:val="99"/>
    <w:unhideWhenUsed/>
    <w:rsid w:val="00773BB9"/>
    <w:pPr>
      <w:spacing w:line="240" w:lineRule="auto"/>
    </w:pPr>
    <w:rPr>
      <w:sz w:val="20"/>
      <w:szCs w:val="20"/>
    </w:rPr>
  </w:style>
  <w:style w:type="character" w:customStyle="1" w:styleId="CommentTextChar">
    <w:name w:val="Comment Text Char"/>
    <w:basedOn w:val="DefaultParagraphFont"/>
    <w:link w:val="CommentText"/>
    <w:uiPriority w:val="99"/>
    <w:rsid w:val="00773BB9"/>
    <w:rPr>
      <w:sz w:val="20"/>
      <w:szCs w:val="20"/>
    </w:rPr>
  </w:style>
  <w:style w:type="paragraph" w:styleId="CommentSubject">
    <w:name w:val="annotation subject"/>
    <w:basedOn w:val="CommentText"/>
    <w:next w:val="CommentText"/>
    <w:link w:val="CommentSubjectChar"/>
    <w:uiPriority w:val="99"/>
    <w:semiHidden/>
    <w:unhideWhenUsed/>
    <w:rsid w:val="00773BB9"/>
    <w:rPr>
      <w:b/>
      <w:bCs/>
    </w:rPr>
  </w:style>
  <w:style w:type="character" w:customStyle="1" w:styleId="CommentSubjectChar">
    <w:name w:val="Comment Subject Char"/>
    <w:basedOn w:val="CommentTextChar"/>
    <w:link w:val="CommentSubject"/>
    <w:uiPriority w:val="99"/>
    <w:semiHidden/>
    <w:rsid w:val="00773BB9"/>
    <w:rPr>
      <w:b/>
      <w:bCs/>
      <w:sz w:val="20"/>
      <w:szCs w:val="20"/>
    </w:rPr>
  </w:style>
  <w:style w:type="character" w:styleId="Mention">
    <w:name w:val="Mention"/>
    <w:basedOn w:val="DefaultParagraphFont"/>
    <w:uiPriority w:val="99"/>
    <w:unhideWhenUsed/>
    <w:rsid w:val="00773BB9"/>
    <w:rPr>
      <w:color w:val="2B579A"/>
      <w:shd w:val="clear" w:color="auto" w:fill="E1DFDD"/>
    </w:rPr>
  </w:style>
  <w:style w:type="paragraph" w:styleId="Caption">
    <w:name w:val="caption"/>
    <w:aliases w:val="CPR Caption,Figure,headings"/>
    <w:basedOn w:val="Normal"/>
    <w:next w:val="Normal"/>
    <w:link w:val="CaptionChar"/>
    <w:uiPriority w:val="35"/>
    <w:unhideWhenUsed/>
    <w:qFormat/>
    <w:rsid w:val="001347F1"/>
    <w:pPr>
      <w:spacing w:after="200" w:line="240" w:lineRule="auto"/>
    </w:pPr>
    <w:rPr>
      <w:i/>
      <w:iCs/>
      <w:color w:val="44546A" w:themeColor="text2"/>
      <w:sz w:val="18"/>
      <w:szCs w:val="18"/>
    </w:rPr>
  </w:style>
  <w:style w:type="character" w:customStyle="1" w:styleId="CaptionChar">
    <w:name w:val="Caption Char"/>
    <w:aliases w:val="CPR Caption Char,Figure Char,headings Char"/>
    <w:link w:val="Caption"/>
    <w:uiPriority w:val="35"/>
    <w:rsid w:val="00AA72EC"/>
    <w:rPr>
      <w:i/>
      <w:iCs/>
      <w:color w:val="44546A" w:themeColor="text2"/>
      <w:sz w:val="18"/>
      <w:szCs w:val="18"/>
    </w:rPr>
  </w:style>
  <w:style w:type="paragraph" w:styleId="Revision">
    <w:name w:val="Revision"/>
    <w:hidden/>
    <w:uiPriority w:val="99"/>
    <w:semiHidden/>
    <w:rsid w:val="00371B7D"/>
    <w:pPr>
      <w:spacing w:after="0" w:line="240" w:lineRule="auto"/>
    </w:pPr>
  </w:style>
  <w:style w:type="table" w:styleId="TableGrid">
    <w:name w:val="Table Grid"/>
    <w:basedOn w:val="TableNormal"/>
    <w:uiPriority w:val="39"/>
    <w:rsid w:val="00E90CD5"/>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057EAE"/>
    <w:pPr>
      <w:spacing w:after="0" w:line="240" w:lineRule="auto"/>
    </w:pPr>
    <w:rPr>
      <w:rFonts w:ascii="Arial" w:hAnsi="Arial"/>
      <w:kern w:val="0"/>
      <w:sz w:val="20"/>
      <w:szCs w:val="22"/>
      <w:lang w:val="en-AU"/>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NormalWeb">
    <w:name w:val="Normal (Web)"/>
    <w:basedOn w:val="Normal"/>
    <w:uiPriority w:val="99"/>
    <w:semiHidden/>
    <w:unhideWhenUsed/>
    <w:rsid w:val="00FC6D5A"/>
    <w:pPr>
      <w:spacing w:before="100" w:beforeAutospacing="1" w:after="100" w:afterAutospacing="1" w:line="240" w:lineRule="auto"/>
    </w:pPr>
    <w:rPr>
      <w:rFonts w:ascii="Times New Roman" w:eastAsia="Times New Roman" w:hAnsi="Times New Roman" w:cs="Times New Roman"/>
      <w:kern w:val="0"/>
      <w:lang w:val="en-AU" w:eastAsia="zh-CN" w:bidi="th-TH"/>
      <w14:ligatures w14:val="none"/>
    </w:rPr>
  </w:style>
  <w:style w:type="character" w:styleId="PlaceholderText">
    <w:name w:val="Placeholder Text"/>
    <w:basedOn w:val="DefaultParagraphFont"/>
    <w:uiPriority w:val="99"/>
    <w:semiHidden/>
    <w:rsid w:val="005177D1"/>
    <w:rPr>
      <w:color w:val="666666"/>
    </w:rPr>
  </w:style>
  <w:style w:type="character" w:styleId="FollowedHyperlink">
    <w:name w:val="FollowedHyperlink"/>
    <w:basedOn w:val="DefaultParagraphFont"/>
    <w:uiPriority w:val="99"/>
    <w:semiHidden/>
    <w:unhideWhenUsed/>
    <w:rsid w:val="005146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lismanmetals@blythera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us@talismanmetalspl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3f8dd0-00ea-42c8-8671-96986b885963" xsi:nil="true"/>
    <lcf76f155ced4ddcb4097134ff3c332f xmlns="272eb43c-395f-4a9e-9400-c93a00f8e35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1BC10FB1389E4BB223780E58992285" ma:contentTypeVersion="19" ma:contentTypeDescription="Create a new document." ma:contentTypeScope="" ma:versionID="f6d2ef8c7294e7314bea7b15f66095e5">
  <xsd:schema xmlns:xsd="http://www.w3.org/2001/XMLSchema" xmlns:xs="http://www.w3.org/2001/XMLSchema" xmlns:p="http://schemas.microsoft.com/office/2006/metadata/properties" xmlns:ns2="272eb43c-395f-4a9e-9400-c93a00f8e359" xmlns:ns3="533f8dd0-00ea-42c8-8671-96986b885963" targetNamespace="http://schemas.microsoft.com/office/2006/metadata/properties" ma:root="true" ma:fieldsID="1eebc06e25dea675ecb767632006c3bf" ns2:_="" ns3:_="">
    <xsd:import namespace="272eb43c-395f-4a9e-9400-c93a00f8e359"/>
    <xsd:import namespace="533f8dd0-00ea-42c8-8671-96986b88596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eb43c-395f-4a9e-9400-c93a00f8e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5a00b9-05fb-4d86-bde1-d0e04e5762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f8dd0-00ea-42c8-8671-96986b8859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92cda7-1a9d-4830-85ca-22035c546067}" ma:internalName="TaxCatchAll" ma:showField="CatchAllData" ma:web="533f8dd0-00ea-42c8-8671-96986b8859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6094D-741D-4789-82A0-1AB903BE7515}">
  <ds:schemaRefs>
    <ds:schemaRef ds:uri="http://schemas.microsoft.com/office/2006/metadata/properties"/>
    <ds:schemaRef ds:uri="http://schemas.microsoft.com/office/infopath/2007/PartnerControls"/>
    <ds:schemaRef ds:uri="12966798-4200-4b21-a412-0214506f40da"/>
    <ds:schemaRef ds:uri="ff9a7bc7-d9a6-4b01-9d85-694b85eed65c"/>
  </ds:schemaRefs>
</ds:datastoreItem>
</file>

<file path=customXml/itemProps2.xml><?xml version="1.0" encoding="utf-8"?>
<ds:datastoreItem xmlns:ds="http://schemas.openxmlformats.org/officeDocument/2006/customXml" ds:itemID="{E205B2E0-8D19-4A8F-82C8-5B394C40369A}">
  <ds:schemaRefs>
    <ds:schemaRef ds:uri="http://schemas.openxmlformats.org/officeDocument/2006/bibliography"/>
  </ds:schemaRefs>
</ds:datastoreItem>
</file>

<file path=customXml/itemProps3.xml><?xml version="1.0" encoding="utf-8"?>
<ds:datastoreItem xmlns:ds="http://schemas.openxmlformats.org/officeDocument/2006/customXml" ds:itemID="{E1E7C425-61B7-4B7A-9677-474B76574325}">
  <ds:schemaRefs>
    <ds:schemaRef ds:uri="http://schemas.microsoft.com/sharepoint/v3/contenttype/forms"/>
  </ds:schemaRefs>
</ds:datastoreItem>
</file>

<file path=customXml/itemProps4.xml><?xml version="1.0" encoding="utf-8"?>
<ds:datastoreItem xmlns:ds="http://schemas.openxmlformats.org/officeDocument/2006/customXml" ds:itemID="{E87A5620-44EC-4BEF-A5E6-06BF91BCF77A}"/>
</file>

<file path=docProps/app.xml><?xml version="1.0" encoding="utf-8"?>
<Properties xmlns="http://schemas.openxmlformats.org/officeDocument/2006/extended-properties" xmlns:vt="http://schemas.openxmlformats.org/officeDocument/2006/docPropsVTypes">
  <Template>Normal</Template>
  <TotalTime>1</TotalTime>
  <Pages>6</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McCutcheon</dc:creator>
  <cp:keywords/>
  <dc:description/>
  <cp:lastModifiedBy>Tim Mccutcheon</cp:lastModifiedBy>
  <cp:revision>2</cp:revision>
  <dcterms:created xsi:type="dcterms:W3CDTF">2026-06-25T17:09:00Z</dcterms:created>
  <dcterms:modified xsi:type="dcterms:W3CDTF">2026-06-25T17:09:00Z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0x0101009D1BC10FB1389E4BB223780E58992285</vt:lpwstr>
  </property>
</Properties>
</file>